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26" w:rsidRPr="00705AC0" w:rsidRDefault="007F1F68" w:rsidP="00705AC0">
      <w:pPr>
        <w:spacing w:line="276" w:lineRule="auto"/>
        <w:jc w:val="both"/>
        <w:rPr>
          <w:rFonts w:ascii="Times New Roman" w:hAnsi="Times New Roman" w:cs="Times New Roman"/>
          <w:b/>
        </w:rPr>
      </w:pPr>
      <w:r w:rsidRPr="00705AC0">
        <w:rPr>
          <w:rFonts w:ascii="Times New Roman" w:hAnsi="Times New Roman" w:cs="Times New Roman"/>
          <w:b/>
        </w:rPr>
        <w:t>Deel 4 De weg vooruit</w:t>
      </w:r>
    </w:p>
    <w:p w:rsidR="007F1F68" w:rsidRPr="00705AC0" w:rsidRDefault="007F1F68" w:rsidP="00705AC0">
      <w:pPr>
        <w:spacing w:line="276" w:lineRule="auto"/>
        <w:jc w:val="both"/>
        <w:rPr>
          <w:rFonts w:ascii="Times New Roman" w:hAnsi="Times New Roman" w:cs="Times New Roman"/>
        </w:rPr>
      </w:pPr>
    </w:p>
    <w:p w:rsidR="007F1F68" w:rsidRDefault="00705AC0" w:rsidP="00705AC0">
      <w:pPr>
        <w:spacing w:line="276" w:lineRule="auto"/>
        <w:jc w:val="both"/>
        <w:rPr>
          <w:rFonts w:ascii="Times New Roman" w:hAnsi="Times New Roman" w:cs="Times New Roman"/>
        </w:rPr>
      </w:pPr>
      <w:r w:rsidRPr="00705AC0">
        <w:rPr>
          <w:rFonts w:ascii="Times New Roman" w:hAnsi="Times New Roman" w:cs="Times New Roman"/>
        </w:rPr>
        <w:t xml:space="preserve">De Evangelisch-Lutherse Gemeente Amsterdam en de Evangelische Broedergemeente Amsterdam en Flevoland, hebben samen met </w:t>
      </w:r>
      <w:r w:rsidR="00A774EC">
        <w:rPr>
          <w:rFonts w:ascii="Times New Roman" w:hAnsi="Times New Roman" w:cs="Times New Roman"/>
        </w:rPr>
        <w:t>NiNsee</w:t>
      </w:r>
      <w:r w:rsidR="00830655">
        <w:rPr>
          <w:rFonts w:ascii="Times New Roman" w:hAnsi="Times New Roman" w:cs="Times New Roman"/>
        </w:rPr>
        <w:t xml:space="preserve">, </w:t>
      </w:r>
      <w:r w:rsidRPr="00705AC0">
        <w:rPr>
          <w:rFonts w:ascii="Times New Roman" w:hAnsi="Times New Roman" w:cs="Times New Roman"/>
        </w:rPr>
        <w:t xml:space="preserve">het </w:t>
      </w:r>
      <w:r w:rsidR="000D7CE4">
        <w:rPr>
          <w:rFonts w:ascii="Times New Roman" w:hAnsi="Times New Roman" w:cs="Times New Roman"/>
        </w:rPr>
        <w:t>“</w:t>
      </w:r>
      <w:r w:rsidRPr="00705AC0">
        <w:rPr>
          <w:rFonts w:ascii="Times New Roman" w:hAnsi="Times New Roman" w:cs="Times New Roman"/>
        </w:rPr>
        <w:t xml:space="preserve">Nationaal </w:t>
      </w:r>
      <w:r w:rsidR="00A774EC">
        <w:rPr>
          <w:rFonts w:ascii="Times New Roman" w:hAnsi="Times New Roman" w:cs="Times New Roman"/>
        </w:rPr>
        <w:t>i</w:t>
      </w:r>
      <w:r w:rsidRPr="00705AC0">
        <w:rPr>
          <w:rFonts w:ascii="Times New Roman" w:hAnsi="Times New Roman" w:cs="Times New Roman"/>
        </w:rPr>
        <w:t xml:space="preserve">nstituut Nederlands </w:t>
      </w:r>
      <w:r w:rsidR="00A774EC">
        <w:rPr>
          <w:rFonts w:ascii="Times New Roman" w:hAnsi="Times New Roman" w:cs="Times New Roman"/>
        </w:rPr>
        <w:t>s</w:t>
      </w:r>
      <w:r w:rsidRPr="00705AC0">
        <w:rPr>
          <w:rFonts w:ascii="Times New Roman" w:hAnsi="Times New Roman" w:cs="Times New Roman"/>
        </w:rPr>
        <w:t xml:space="preserve">lavernijverleden </w:t>
      </w:r>
      <w:r w:rsidR="00A774EC">
        <w:rPr>
          <w:rFonts w:ascii="Times New Roman" w:hAnsi="Times New Roman" w:cs="Times New Roman"/>
        </w:rPr>
        <w:t>e</w:t>
      </w:r>
      <w:r w:rsidRPr="00705AC0">
        <w:rPr>
          <w:rFonts w:ascii="Times New Roman" w:hAnsi="Times New Roman" w:cs="Times New Roman"/>
        </w:rPr>
        <w:t xml:space="preserve">n </w:t>
      </w:r>
      <w:r w:rsidR="00A774EC">
        <w:rPr>
          <w:rFonts w:ascii="Times New Roman" w:hAnsi="Times New Roman" w:cs="Times New Roman"/>
        </w:rPr>
        <w:t>e</w:t>
      </w:r>
      <w:r w:rsidRPr="00705AC0">
        <w:rPr>
          <w:rFonts w:ascii="Times New Roman" w:hAnsi="Times New Roman" w:cs="Times New Roman"/>
        </w:rPr>
        <w:t>rfenis</w:t>
      </w:r>
      <w:r w:rsidR="000D7CE4">
        <w:rPr>
          <w:rFonts w:ascii="Times New Roman" w:hAnsi="Times New Roman" w:cs="Times New Roman"/>
        </w:rPr>
        <w:t>”</w:t>
      </w:r>
      <w:r w:rsidRPr="00705AC0">
        <w:rPr>
          <w:rFonts w:ascii="Times New Roman" w:hAnsi="Times New Roman" w:cs="Times New Roman"/>
        </w:rPr>
        <w:t xml:space="preserve"> de essaywedstrijd en het symposium</w:t>
      </w:r>
      <w:r w:rsidR="00CD0CCE">
        <w:rPr>
          <w:rFonts w:ascii="Times New Roman" w:hAnsi="Times New Roman" w:cs="Times New Roman"/>
        </w:rPr>
        <w:t xml:space="preserve"> georganiseerd</w:t>
      </w:r>
      <w:r w:rsidRPr="00705AC0">
        <w:rPr>
          <w:rFonts w:ascii="Times New Roman" w:hAnsi="Times New Roman" w:cs="Times New Roman"/>
        </w:rPr>
        <w:t>, die in dit boek zijn beschreven. Bij de essaywedstrijd hebben zij geprofiteerd van de samenwerking met de Werkgroep Caribische Letteren. De genoemde kerken proberen daarmee bij te dragen tot de heilzame verwerking van het slavernijverleden voor ‘wit’ en ‘zwart’</w:t>
      </w:r>
      <w:r w:rsidR="000919CD">
        <w:rPr>
          <w:rFonts w:ascii="Times New Roman" w:hAnsi="Times New Roman" w:cs="Times New Roman"/>
        </w:rPr>
        <w:t>; zoals eerder aangegeven bestaan beide gemeenten uit ‘witte’ en ‘zwarte’ kerkgangers.</w:t>
      </w:r>
      <w:r w:rsidRPr="00705AC0">
        <w:rPr>
          <w:rFonts w:ascii="Times New Roman" w:hAnsi="Times New Roman" w:cs="Times New Roman"/>
        </w:rPr>
        <w:t xml:space="preserve"> De preken die in deel 3 van dit boek zijn afgedrukt zijn </w:t>
      </w:r>
      <w:r>
        <w:rPr>
          <w:rFonts w:ascii="Times New Roman" w:hAnsi="Times New Roman" w:cs="Times New Roman"/>
        </w:rPr>
        <w:t xml:space="preserve">rond </w:t>
      </w:r>
      <w:proofErr w:type="spellStart"/>
      <w:r>
        <w:rPr>
          <w:rFonts w:ascii="Times New Roman" w:hAnsi="Times New Roman" w:cs="Times New Roman"/>
        </w:rPr>
        <w:t>Keti</w:t>
      </w:r>
      <w:proofErr w:type="spellEnd"/>
      <w:r>
        <w:rPr>
          <w:rFonts w:ascii="Times New Roman" w:hAnsi="Times New Roman" w:cs="Times New Roman"/>
        </w:rPr>
        <w:t xml:space="preserve"> </w:t>
      </w:r>
      <w:proofErr w:type="spellStart"/>
      <w:r>
        <w:rPr>
          <w:rFonts w:ascii="Times New Roman" w:hAnsi="Times New Roman" w:cs="Times New Roman"/>
        </w:rPr>
        <w:t>Koti</w:t>
      </w:r>
      <w:proofErr w:type="spellEnd"/>
      <w:r>
        <w:rPr>
          <w:rFonts w:ascii="Times New Roman" w:hAnsi="Times New Roman" w:cs="Times New Roman"/>
        </w:rPr>
        <w:t xml:space="preserve"> 2019 </w:t>
      </w:r>
      <w:r w:rsidR="000D7CE4">
        <w:rPr>
          <w:rFonts w:ascii="Times New Roman" w:hAnsi="Times New Roman" w:cs="Times New Roman"/>
        </w:rPr>
        <w:t>gehouden</w:t>
      </w:r>
      <w:r w:rsidRPr="00705AC0">
        <w:rPr>
          <w:rFonts w:ascii="Times New Roman" w:hAnsi="Times New Roman" w:cs="Times New Roman"/>
        </w:rPr>
        <w:t xml:space="preserve"> in de eigen gemeente en hebben daarmee </w:t>
      </w:r>
      <w:r>
        <w:rPr>
          <w:rFonts w:ascii="Times New Roman" w:hAnsi="Times New Roman" w:cs="Times New Roman"/>
        </w:rPr>
        <w:t xml:space="preserve">vooral </w:t>
      </w:r>
      <w:r w:rsidRPr="00705AC0">
        <w:rPr>
          <w:rFonts w:ascii="Times New Roman" w:hAnsi="Times New Roman" w:cs="Times New Roman"/>
        </w:rPr>
        <w:t xml:space="preserve">een interne functie. Door de bijbeluitleg ook in dit boek op te nemen hopen de kerken </w:t>
      </w:r>
      <w:r w:rsidR="000919CD">
        <w:rPr>
          <w:rFonts w:ascii="Times New Roman" w:hAnsi="Times New Roman" w:cs="Times New Roman"/>
        </w:rPr>
        <w:t xml:space="preserve">te </w:t>
      </w:r>
      <w:r w:rsidR="00A774EC">
        <w:rPr>
          <w:rFonts w:ascii="Times New Roman" w:hAnsi="Times New Roman" w:cs="Times New Roman"/>
        </w:rPr>
        <w:t>laten zien</w:t>
      </w:r>
      <w:r w:rsidR="000919CD">
        <w:rPr>
          <w:rFonts w:ascii="Times New Roman" w:hAnsi="Times New Roman" w:cs="Times New Roman"/>
        </w:rPr>
        <w:t xml:space="preserve"> hoe zij de problematiek vandaag de dag benaderen. Daarmee staat hun aanpak open voor discussie binnen de landelijke kerken en daarbuiten.</w:t>
      </w:r>
    </w:p>
    <w:p w:rsidR="000919CD" w:rsidRDefault="000919CD" w:rsidP="00705AC0">
      <w:pPr>
        <w:spacing w:line="276" w:lineRule="auto"/>
        <w:jc w:val="both"/>
        <w:rPr>
          <w:rFonts w:ascii="Times New Roman" w:hAnsi="Times New Roman" w:cs="Times New Roman"/>
        </w:rPr>
      </w:pPr>
    </w:p>
    <w:p w:rsidR="000919CD" w:rsidRDefault="000919CD" w:rsidP="00705AC0">
      <w:pPr>
        <w:spacing w:line="276" w:lineRule="auto"/>
        <w:jc w:val="both"/>
        <w:rPr>
          <w:rFonts w:ascii="Times New Roman" w:hAnsi="Times New Roman" w:cs="Times New Roman"/>
        </w:rPr>
      </w:pPr>
      <w:r>
        <w:rPr>
          <w:rFonts w:ascii="Times New Roman" w:hAnsi="Times New Roman" w:cs="Times New Roman"/>
        </w:rPr>
        <w:t>De essaywedstrijd</w:t>
      </w:r>
      <w:r w:rsidR="004B7236">
        <w:rPr>
          <w:rFonts w:ascii="Times New Roman" w:hAnsi="Times New Roman" w:cs="Times New Roman"/>
        </w:rPr>
        <w:t xml:space="preserve"> (deel 1)</w:t>
      </w:r>
      <w:r>
        <w:rPr>
          <w:rFonts w:ascii="Times New Roman" w:hAnsi="Times New Roman" w:cs="Times New Roman"/>
        </w:rPr>
        <w:t xml:space="preserve"> en het symposium</w:t>
      </w:r>
      <w:r w:rsidR="004B7236">
        <w:rPr>
          <w:rFonts w:ascii="Times New Roman" w:hAnsi="Times New Roman" w:cs="Times New Roman"/>
        </w:rPr>
        <w:t xml:space="preserve"> (deel 2)</w:t>
      </w:r>
      <w:r>
        <w:rPr>
          <w:rFonts w:ascii="Times New Roman" w:hAnsi="Times New Roman" w:cs="Times New Roman"/>
        </w:rPr>
        <w:t xml:space="preserve"> hadden als doel om suggesties te </w:t>
      </w:r>
      <w:r w:rsidR="000D7CE4">
        <w:rPr>
          <w:rFonts w:ascii="Times New Roman" w:hAnsi="Times New Roman" w:cs="Times New Roman"/>
        </w:rPr>
        <w:t>verzamelen</w:t>
      </w:r>
      <w:r>
        <w:rPr>
          <w:rFonts w:ascii="Times New Roman" w:hAnsi="Times New Roman" w:cs="Times New Roman"/>
        </w:rPr>
        <w:t xml:space="preserve"> voor meer en misschien andere stappen om te komen tot heilzame verwerking. Hieronder heeft de organiserende werkgroep de ontvangen suggesties samengevat in drie </w:t>
      </w:r>
      <w:r w:rsidR="00973D64">
        <w:rPr>
          <w:rFonts w:ascii="Times New Roman" w:hAnsi="Times New Roman" w:cs="Times New Roman"/>
        </w:rPr>
        <w:t>thema’s</w:t>
      </w:r>
      <w:r>
        <w:rPr>
          <w:rFonts w:ascii="Times New Roman" w:hAnsi="Times New Roman" w:cs="Times New Roman"/>
        </w:rPr>
        <w:t xml:space="preserve"> en steeds </w:t>
      </w:r>
      <w:r w:rsidR="004B7236">
        <w:rPr>
          <w:rFonts w:ascii="Times New Roman" w:hAnsi="Times New Roman" w:cs="Times New Roman"/>
        </w:rPr>
        <w:t>(</w:t>
      </w:r>
      <w:r w:rsidR="004B7236" w:rsidRPr="004C5BC5">
        <w:rPr>
          <w:rFonts w:ascii="Times New Roman" w:hAnsi="Times New Roman" w:cs="Times New Roman"/>
          <w:i/>
        </w:rPr>
        <w:t>cursief)</w:t>
      </w:r>
      <w:r w:rsidR="004B7236">
        <w:rPr>
          <w:rFonts w:ascii="Times New Roman" w:hAnsi="Times New Roman" w:cs="Times New Roman"/>
        </w:rPr>
        <w:t xml:space="preserve"> </w:t>
      </w:r>
      <w:r>
        <w:rPr>
          <w:rFonts w:ascii="Times New Roman" w:hAnsi="Times New Roman" w:cs="Times New Roman"/>
        </w:rPr>
        <w:t xml:space="preserve">aangegeven hoe de werkgroep daarmee wil verder gaan. Het eerste </w:t>
      </w:r>
      <w:r w:rsidR="00AE6B78">
        <w:rPr>
          <w:rFonts w:ascii="Times New Roman" w:hAnsi="Times New Roman" w:cs="Times New Roman"/>
        </w:rPr>
        <w:t>thema gaat over de religieuze en spirituele traditie die de tot slaaf gemaakten uit Afrika hebben meegenomen en in het Caribisch gebied verder ontwikkeld</w:t>
      </w:r>
      <w:r w:rsidR="00CD0CCE">
        <w:rPr>
          <w:rFonts w:ascii="Times New Roman" w:hAnsi="Times New Roman" w:cs="Times New Roman"/>
        </w:rPr>
        <w:t xml:space="preserve"> hebben</w:t>
      </w:r>
      <w:r w:rsidR="00AE6B78">
        <w:rPr>
          <w:rFonts w:ascii="Times New Roman" w:hAnsi="Times New Roman" w:cs="Times New Roman"/>
        </w:rPr>
        <w:t>. Het tweede thema behandelt wat de kerken zelf kunnen doen en het derde thema gaat over compensatie en genoegdoening.</w:t>
      </w:r>
    </w:p>
    <w:p w:rsidR="00AE6B78" w:rsidRDefault="00AE6B78" w:rsidP="00705AC0">
      <w:pPr>
        <w:spacing w:line="276" w:lineRule="auto"/>
        <w:jc w:val="both"/>
        <w:rPr>
          <w:rFonts w:ascii="Times New Roman" w:hAnsi="Times New Roman" w:cs="Times New Roman"/>
        </w:rPr>
      </w:pPr>
    </w:p>
    <w:p w:rsidR="00AE6B78" w:rsidRPr="00AE6B78" w:rsidRDefault="00AE6B78" w:rsidP="00705AC0">
      <w:pPr>
        <w:spacing w:line="276" w:lineRule="auto"/>
        <w:jc w:val="both"/>
        <w:rPr>
          <w:rFonts w:ascii="Times New Roman" w:hAnsi="Times New Roman" w:cs="Times New Roman"/>
          <w:b/>
        </w:rPr>
      </w:pPr>
      <w:r w:rsidRPr="00AE6B78">
        <w:rPr>
          <w:rFonts w:ascii="Times New Roman" w:hAnsi="Times New Roman" w:cs="Times New Roman"/>
          <w:b/>
        </w:rPr>
        <w:t xml:space="preserve">4.1 </w:t>
      </w:r>
      <w:r w:rsidR="000D7CE4">
        <w:rPr>
          <w:rFonts w:ascii="Times New Roman" w:hAnsi="Times New Roman" w:cs="Times New Roman"/>
          <w:b/>
        </w:rPr>
        <w:t>D</w:t>
      </w:r>
      <w:r w:rsidRPr="00AE6B78">
        <w:rPr>
          <w:rFonts w:ascii="Times New Roman" w:hAnsi="Times New Roman" w:cs="Times New Roman"/>
          <w:b/>
        </w:rPr>
        <w:t xml:space="preserve">e </w:t>
      </w:r>
      <w:r w:rsidR="009600A6">
        <w:rPr>
          <w:rFonts w:ascii="Times New Roman" w:hAnsi="Times New Roman" w:cs="Times New Roman"/>
          <w:b/>
        </w:rPr>
        <w:t>Afro-Surinaamse spiritualiteit</w:t>
      </w:r>
    </w:p>
    <w:p w:rsidR="00AE6B78" w:rsidRDefault="002112FB" w:rsidP="00705AC0">
      <w:pPr>
        <w:spacing w:line="276" w:lineRule="auto"/>
        <w:jc w:val="both"/>
        <w:rPr>
          <w:rFonts w:ascii="Times New Roman" w:hAnsi="Times New Roman" w:cs="Times New Roman"/>
        </w:rPr>
      </w:pPr>
      <w:r>
        <w:rPr>
          <w:rFonts w:ascii="Times New Roman" w:hAnsi="Times New Roman" w:cs="Times New Roman"/>
        </w:rPr>
        <w:t xml:space="preserve">Gedurende lange tijd werd de spirituele traditie die de tot slaaf gemaakten meebrachten uit Afrika </w:t>
      </w:r>
      <w:r w:rsidR="004B7236">
        <w:rPr>
          <w:rFonts w:ascii="Times New Roman" w:hAnsi="Times New Roman" w:cs="Times New Roman"/>
        </w:rPr>
        <w:t xml:space="preserve">in de Nederlandse koloniën </w:t>
      </w:r>
      <w:r>
        <w:rPr>
          <w:rFonts w:ascii="Times New Roman" w:hAnsi="Times New Roman" w:cs="Times New Roman"/>
        </w:rPr>
        <w:t xml:space="preserve">getolereerd. Met name in Suriname waren de slavenhouders en het koloniale bestuur niet geïnteresseerd in bekering van hun ‘slaven’ tot het Christendom. Dat zou immers betekenen dat zij naar dezelfde kerk zouden gaan en meedoen aan de kerkelijke </w:t>
      </w:r>
      <w:r w:rsidR="000D7B25">
        <w:rPr>
          <w:rFonts w:ascii="Times New Roman" w:hAnsi="Times New Roman" w:cs="Times New Roman"/>
        </w:rPr>
        <w:t xml:space="preserve">sacramenten </w:t>
      </w:r>
      <w:r>
        <w:rPr>
          <w:rFonts w:ascii="Times New Roman" w:hAnsi="Times New Roman" w:cs="Times New Roman"/>
        </w:rPr>
        <w:t xml:space="preserve">van Doop en Avondmaal. Op de Antillen lag dat anders; daar kreeg de Rooms-Katholieke kerk </w:t>
      </w:r>
      <w:r w:rsidR="000D7CE4">
        <w:rPr>
          <w:rFonts w:ascii="Times New Roman" w:hAnsi="Times New Roman" w:cs="Times New Roman"/>
        </w:rPr>
        <w:t xml:space="preserve">vanuit haar principieel sterker missionaire </w:t>
      </w:r>
      <w:r w:rsidR="00CD0CCE">
        <w:rPr>
          <w:rFonts w:ascii="Times New Roman" w:hAnsi="Times New Roman" w:cs="Times New Roman"/>
        </w:rPr>
        <w:t>ambitie</w:t>
      </w:r>
      <w:r w:rsidR="000D7CE4">
        <w:rPr>
          <w:rFonts w:ascii="Times New Roman" w:hAnsi="Times New Roman" w:cs="Times New Roman"/>
        </w:rPr>
        <w:t xml:space="preserve"> meer </w:t>
      </w:r>
      <w:r>
        <w:rPr>
          <w:rFonts w:ascii="Times New Roman" w:hAnsi="Times New Roman" w:cs="Times New Roman"/>
        </w:rPr>
        <w:t xml:space="preserve">voet aan de grond, vooral omdat de joodse en protestantse elite hun ‘slaven’ niet in de eigen religieuze gebouwen </w:t>
      </w:r>
      <w:r w:rsidR="000D7CE4">
        <w:rPr>
          <w:rFonts w:ascii="Times New Roman" w:hAnsi="Times New Roman" w:cs="Times New Roman"/>
        </w:rPr>
        <w:t>wilden</w:t>
      </w:r>
      <w:r w:rsidR="00EE63DD">
        <w:rPr>
          <w:rFonts w:ascii="Times New Roman" w:hAnsi="Times New Roman" w:cs="Times New Roman"/>
        </w:rPr>
        <w:t xml:space="preserve"> </w:t>
      </w:r>
      <w:r>
        <w:rPr>
          <w:rFonts w:ascii="Times New Roman" w:hAnsi="Times New Roman" w:cs="Times New Roman"/>
        </w:rPr>
        <w:t xml:space="preserve">tegenkomen. In </w:t>
      </w:r>
      <w:r w:rsidR="00CD0CCE">
        <w:rPr>
          <w:rFonts w:ascii="Times New Roman" w:hAnsi="Times New Roman" w:cs="Times New Roman"/>
        </w:rPr>
        <w:t>de achttiende eeuw</w:t>
      </w:r>
      <w:r>
        <w:rPr>
          <w:rFonts w:ascii="Times New Roman" w:hAnsi="Times New Roman" w:cs="Times New Roman"/>
        </w:rPr>
        <w:t xml:space="preserve"> kregen de zendelingen van de Broedergemeente, de </w:t>
      </w:r>
      <w:r w:rsidR="000D7CE4">
        <w:rPr>
          <w:rFonts w:ascii="Times New Roman" w:hAnsi="Times New Roman" w:cs="Times New Roman"/>
        </w:rPr>
        <w:t>H</w:t>
      </w:r>
      <w:r>
        <w:rPr>
          <w:rFonts w:ascii="Times New Roman" w:hAnsi="Times New Roman" w:cs="Times New Roman"/>
        </w:rPr>
        <w:t xml:space="preserve">ernhutters, in Suriname toestemming om hun werkgebied van </w:t>
      </w:r>
      <w:r w:rsidR="00CD0CCE">
        <w:rPr>
          <w:rFonts w:ascii="Times New Roman" w:hAnsi="Times New Roman" w:cs="Times New Roman"/>
        </w:rPr>
        <w:t xml:space="preserve">inheemse </w:t>
      </w:r>
      <w:r>
        <w:rPr>
          <w:rFonts w:ascii="Times New Roman" w:hAnsi="Times New Roman" w:cs="Times New Roman"/>
        </w:rPr>
        <w:t xml:space="preserve">indianen en </w:t>
      </w:r>
      <w:r w:rsidR="004E469F">
        <w:rPr>
          <w:rFonts w:ascii="Times New Roman" w:hAnsi="Times New Roman" w:cs="Times New Roman"/>
        </w:rPr>
        <w:t>weggelopen slaven in de binnenlanden, uit te breiden tot de plantages en de stad. Ook andere protestantse kerken kregen ‘zwarte’ gemeenteleden en de samenstelling van de gemeenten werd langzamerhand overwegend ‘zwart’.</w:t>
      </w:r>
    </w:p>
    <w:p w:rsidR="004E469F" w:rsidRDefault="004E469F" w:rsidP="00705AC0">
      <w:pPr>
        <w:spacing w:line="276" w:lineRule="auto"/>
        <w:jc w:val="both"/>
        <w:rPr>
          <w:rFonts w:ascii="Times New Roman" w:hAnsi="Times New Roman" w:cs="Times New Roman"/>
        </w:rPr>
      </w:pPr>
    </w:p>
    <w:p w:rsidR="004E469F" w:rsidRDefault="004E469F" w:rsidP="00705AC0">
      <w:pPr>
        <w:spacing w:line="276" w:lineRule="auto"/>
        <w:jc w:val="both"/>
        <w:rPr>
          <w:rFonts w:ascii="Times New Roman" w:hAnsi="Times New Roman" w:cs="Times New Roman"/>
        </w:rPr>
      </w:pPr>
      <w:r>
        <w:rPr>
          <w:rFonts w:ascii="Times New Roman" w:hAnsi="Times New Roman" w:cs="Times New Roman"/>
        </w:rPr>
        <w:t>De Afrikaanse religieuze tradities bleven in stand en ontwikkelden zich tot wat wordt aangeduid met winti. In deze traditie is de gemeenschap waarin men leeft belangrijk, er is een sterk geloof in de eenheid van de Kosmos, van het zienlijke en het onzienlijke</w:t>
      </w:r>
      <w:r w:rsidR="004B05BE">
        <w:rPr>
          <w:rFonts w:ascii="Times New Roman" w:hAnsi="Times New Roman" w:cs="Times New Roman"/>
        </w:rPr>
        <w:t xml:space="preserve">; de voorouders leven voort in het onzienlijke </w:t>
      </w:r>
      <w:r>
        <w:rPr>
          <w:rFonts w:ascii="Times New Roman" w:hAnsi="Times New Roman" w:cs="Times New Roman"/>
        </w:rPr>
        <w:t xml:space="preserve">en </w:t>
      </w:r>
      <w:r w:rsidR="004B05BE">
        <w:rPr>
          <w:rFonts w:ascii="Times New Roman" w:hAnsi="Times New Roman" w:cs="Times New Roman"/>
        </w:rPr>
        <w:t xml:space="preserve">men staat met hen in contact. </w:t>
      </w:r>
      <w:r w:rsidR="00FF4498">
        <w:rPr>
          <w:rFonts w:ascii="Times New Roman" w:hAnsi="Times New Roman" w:cs="Times New Roman"/>
        </w:rPr>
        <w:t xml:space="preserve"> </w:t>
      </w:r>
    </w:p>
    <w:p w:rsidR="00EE63DD" w:rsidRDefault="00EE63DD" w:rsidP="00705AC0">
      <w:pPr>
        <w:spacing w:line="276" w:lineRule="auto"/>
        <w:jc w:val="both"/>
        <w:rPr>
          <w:rFonts w:ascii="Times New Roman" w:hAnsi="Times New Roman" w:cs="Times New Roman"/>
        </w:rPr>
      </w:pPr>
    </w:p>
    <w:p w:rsidR="00022DFE" w:rsidRPr="00022DFE" w:rsidRDefault="00022DFE" w:rsidP="00705AC0">
      <w:pPr>
        <w:spacing w:line="276" w:lineRule="auto"/>
        <w:jc w:val="both"/>
        <w:rPr>
          <w:rFonts w:ascii="Times New Roman" w:hAnsi="Times New Roman" w:cs="Times New Roman"/>
          <w:b/>
        </w:rPr>
      </w:pPr>
      <w:r w:rsidRPr="00022DFE">
        <w:rPr>
          <w:rFonts w:ascii="Times New Roman" w:hAnsi="Times New Roman" w:cs="Times New Roman"/>
          <w:b/>
        </w:rPr>
        <w:t>Adviezen aan de kerken</w:t>
      </w:r>
    </w:p>
    <w:p w:rsidR="00DD6D7E" w:rsidRDefault="00FF4498" w:rsidP="00705AC0">
      <w:pPr>
        <w:spacing w:line="276" w:lineRule="auto"/>
        <w:jc w:val="both"/>
        <w:rPr>
          <w:rFonts w:ascii="Times New Roman" w:hAnsi="Times New Roman" w:cs="Times New Roman"/>
        </w:rPr>
      </w:pPr>
      <w:r>
        <w:rPr>
          <w:rFonts w:ascii="Times New Roman" w:hAnsi="Times New Roman" w:cs="Times New Roman"/>
        </w:rPr>
        <w:lastRenderedPageBreak/>
        <w:t>Diverse</w:t>
      </w:r>
      <w:r w:rsidR="002505A7">
        <w:rPr>
          <w:rFonts w:ascii="Times New Roman" w:hAnsi="Times New Roman" w:cs="Times New Roman"/>
        </w:rPr>
        <w:t xml:space="preserve"> kerkmensen leven in beide tradities en dat kan bij sommigen of misschien wel velen leiden tot een spagaat. Aan de ene kant is er de religie van de voorkamer, de mooie kamer, waarin de officiële </w:t>
      </w:r>
      <w:r w:rsidR="00EE7C17">
        <w:rPr>
          <w:rFonts w:ascii="Times New Roman" w:hAnsi="Times New Roman" w:cs="Times New Roman"/>
        </w:rPr>
        <w:t>P</w:t>
      </w:r>
      <w:r w:rsidR="002505A7">
        <w:rPr>
          <w:rFonts w:ascii="Times New Roman" w:hAnsi="Times New Roman" w:cs="Times New Roman"/>
        </w:rPr>
        <w:t xml:space="preserve">rotestantse of </w:t>
      </w:r>
      <w:r w:rsidR="00EE7C17">
        <w:rPr>
          <w:rFonts w:ascii="Times New Roman" w:hAnsi="Times New Roman" w:cs="Times New Roman"/>
        </w:rPr>
        <w:t>K</w:t>
      </w:r>
      <w:r w:rsidR="002505A7">
        <w:rPr>
          <w:rFonts w:ascii="Times New Roman" w:hAnsi="Times New Roman" w:cs="Times New Roman"/>
        </w:rPr>
        <w:t xml:space="preserve">atholieke godsdienst wordt beleden. Aan de andere kant de religie van het achtererf, de plek waar de tot slaaf gemaakten zich ophielden en hun spirituele tradities vast hielden. </w:t>
      </w:r>
    </w:p>
    <w:p w:rsidR="008364A0" w:rsidRDefault="008364A0" w:rsidP="00705AC0">
      <w:pPr>
        <w:spacing w:line="276" w:lineRule="auto"/>
        <w:jc w:val="both"/>
        <w:rPr>
          <w:rFonts w:ascii="Times New Roman" w:hAnsi="Times New Roman" w:cs="Times New Roman"/>
        </w:rPr>
      </w:pPr>
      <w:r>
        <w:rPr>
          <w:rFonts w:ascii="Times New Roman" w:hAnsi="Times New Roman" w:cs="Times New Roman"/>
        </w:rPr>
        <w:t xml:space="preserve">Johannes </w:t>
      </w:r>
      <w:proofErr w:type="spellStart"/>
      <w:r>
        <w:rPr>
          <w:rFonts w:ascii="Times New Roman" w:hAnsi="Times New Roman" w:cs="Times New Roman"/>
        </w:rPr>
        <w:t>Welschen</w:t>
      </w:r>
      <w:proofErr w:type="spellEnd"/>
      <w:r w:rsidR="00FC2187">
        <w:rPr>
          <w:rStyle w:val="Voetnootmarkering"/>
          <w:rFonts w:ascii="Times New Roman" w:hAnsi="Times New Roman" w:cs="Times New Roman"/>
        </w:rPr>
        <w:footnoteReference w:id="1"/>
      </w:r>
      <w:r>
        <w:rPr>
          <w:rFonts w:ascii="Times New Roman" w:hAnsi="Times New Roman" w:cs="Times New Roman"/>
        </w:rPr>
        <w:t xml:space="preserve"> van de Evangelische Broedergemeente</w:t>
      </w:r>
      <w:r w:rsidR="00FC2187">
        <w:rPr>
          <w:rFonts w:ascii="Times New Roman" w:hAnsi="Times New Roman" w:cs="Times New Roman"/>
        </w:rPr>
        <w:t xml:space="preserve"> </w:t>
      </w:r>
      <w:r>
        <w:rPr>
          <w:rFonts w:ascii="Times New Roman" w:hAnsi="Times New Roman" w:cs="Times New Roman"/>
        </w:rPr>
        <w:t>erkent dat er een taboe bestaat op een gesprek over winti. Hij beoogt een open gesprek met zijn gemeenteleden met een Afro-Caribische achtergrond en stelt voor daarmee een gezamenlijke weg te zoeken.</w:t>
      </w:r>
    </w:p>
    <w:p w:rsidR="008364A0" w:rsidRDefault="008364A0" w:rsidP="00705AC0">
      <w:pPr>
        <w:spacing w:line="276" w:lineRule="auto"/>
        <w:jc w:val="both"/>
        <w:rPr>
          <w:rFonts w:ascii="Times New Roman" w:hAnsi="Times New Roman" w:cs="Times New Roman"/>
        </w:rPr>
      </w:pPr>
    </w:p>
    <w:p w:rsidR="008364A0" w:rsidRDefault="008364A0" w:rsidP="00705AC0">
      <w:pPr>
        <w:spacing w:line="276" w:lineRule="auto"/>
        <w:jc w:val="both"/>
        <w:rPr>
          <w:rFonts w:ascii="Times New Roman" w:hAnsi="Times New Roman" w:cs="Times New Roman"/>
        </w:rPr>
      </w:pPr>
      <w:r>
        <w:rPr>
          <w:rFonts w:ascii="Times New Roman" w:hAnsi="Times New Roman" w:cs="Times New Roman"/>
        </w:rPr>
        <w:t xml:space="preserve">Pearl </w:t>
      </w:r>
      <w:proofErr w:type="spellStart"/>
      <w:r>
        <w:rPr>
          <w:rFonts w:ascii="Times New Roman" w:hAnsi="Times New Roman" w:cs="Times New Roman"/>
        </w:rPr>
        <w:t>Gerding</w:t>
      </w:r>
      <w:proofErr w:type="spellEnd"/>
      <w:r w:rsidR="00FC2187">
        <w:rPr>
          <w:rStyle w:val="Voetnootmarkering"/>
          <w:rFonts w:ascii="Times New Roman" w:hAnsi="Times New Roman" w:cs="Times New Roman"/>
        </w:rPr>
        <w:footnoteReference w:id="2"/>
      </w:r>
      <w:r>
        <w:rPr>
          <w:rFonts w:ascii="Times New Roman" w:hAnsi="Times New Roman" w:cs="Times New Roman"/>
        </w:rPr>
        <w:t xml:space="preserve"> van de Evangelisch-Lutherse Kerk in Suriname </w:t>
      </w:r>
      <w:r w:rsidR="00022DFE">
        <w:rPr>
          <w:rFonts w:ascii="Times New Roman" w:hAnsi="Times New Roman" w:cs="Times New Roman"/>
        </w:rPr>
        <w:t>wijst op</w:t>
      </w:r>
      <w:r w:rsidR="00EB2B98">
        <w:rPr>
          <w:rFonts w:ascii="Times New Roman" w:hAnsi="Times New Roman" w:cs="Times New Roman"/>
        </w:rPr>
        <w:t xml:space="preserve"> de aantrekkingskracht van de Pinkstergemeenten in haar land en </w:t>
      </w:r>
      <w:r w:rsidR="00022DFE">
        <w:rPr>
          <w:rFonts w:ascii="Times New Roman" w:hAnsi="Times New Roman" w:cs="Times New Roman"/>
        </w:rPr>
        <w:t xml:space="preserve">pleit voor aanpassing van de vormgeving </w:t>
      </w:r>
      <w:r w:rsidR="00EB2B98">
        <w:rPr>
          <w:rFonts w:ascii="Times New Roman" w:hAnsi="Times New Roman" w:cs="Times New Roman"/>
        </w:rPr>
        <w:t xml:space="preserve">van de erediensten, </w:t>
      </w:r>
      <w:r w:rsidR="004B7236">
        <w:rPr>
          <w:rFonts w:ascii="Times New Roman" w:hAnsi="Times New Roman" w:cs="Times New Roman"/>
        </w:rPr>
        <w:t>ook in haar eigen kerk</w:t>
      </w:r>
      <w:r w:rsidR="00022DFE">
        <w:rPr>
          <w:rFonts w:ascii="Times New Roman" w:hAnsi="Times New Roman" w:cs="Times New Roman"/>
        </w:rPr>
        <w:t>.</w:t>
      </w:r>
    </w:p>
    <w:p w:rsidR="00DB7483" w:rsidRDefault="00DB7483" w:rsidP="00705AC0">
      <w:pPr>
        <w:spacing w:line="276" w:lineRule="auto"/>
        <w:jc w:val="both"/>
        <w:rPr>
          <w:rFonts w:ascii="Times New Roman" w:hAnsi="Times New Roman" w:cs="Times New Roman"/>
        </w:rPr>
      </w:pPr>
    </w:p>
    <w:p w:rsidR="00DB7483" w:rsidRPr="00202F43" w:rsidRDefault="00DB7483" w:rsidP="00DB7483">
      <w:pPr>
        <w:spacing w:line="276" w:lineRule="auto"/>
        <w:jc w:val="both"/>
        <w:rPr>
          <w:rFonts w:ascii="Times New Roman" w:hAnsi="Times New Roman" w:cs="Times New Roman"/>
          <w:color w:val="000000" w:themeColor="text1"/>
        </w:rPr>
      </w:pPr>
      <w:r>
        <w:rPr>
          <w:rFonts w:ascii="Times New Roman" w:hAnsi="Times New Roman" w:cs="Times New Roman"/>
        </w:rPr>
        <w:t xml:space="preserve">Glenn </w:t>
      </w:r>
      <w:proofErr w:type="spellStart"/>
      <w:r>
        <w:rPr>
          <w:rFonts w:ascii="Times New Roman" w:hAnsi="Times New Roman" w:cs="Times New Roman"/>
        </w:rPr>
        <w:t>Helberg</w:t>
      </w:r>
      <w:proofErr w:type="spellEnd"/>
      <w:r>
        <w:rPr>
          <w:rStyle w:val="Voetnootmarkering"/>
          <w:rFonts w:ascii="Times New Roman" w:hAnsi="Times New Roman" w:cs="Times New Roman"/>
        </w:rPr>
        <w:footnoteReference w:id="3"/>
      </w:r>
      <w:r>
        <w:rPr>
          <w:rFonts w:ascii="Times New Roman" w:hAnsi="Times New Roman" w:cs="Times New Roman"/>
        </w:rPr>
        <w:t xml:space="preserve"> constateert dat cliënten in zijn praktijk als psychiater vaak worstelen met deze spagaat. Hun probleem wordt nog versterkt doordat hun omgeving, hun familie, niet serieus op hun interne spanning ingaat. Het is taboe</w:t>
      </w:r>
      <w:r w:rsidRPr="00EB2B98">
        <w:rPr>
          <w:rFonts w:ascii="Times New Roman" w:hAnsi="Times New Roman" w:cs="Times New Roman"/>
          <w:color w:val="FF0000"/>
        </w:rPr>
        <w:t xml:space="preserve">. </w:t>
      </w:r>
      <w:proofErr w:type="spellStart"/>
      <w:r w:rsidRPr="00202F43">
        <w:rPr>
          <w:rFonts w:ascii="Times New Roman" w:hAnsi="Times New Roman" w:cs="Times New Roman"/>
          <w:color w:val="000000" w:themeColor="text1"/>
        </w:rPr>
        <w:t>Helberg</w:t>
      </w:r>
      <w:proofErr w:type="spellEnd"/>
      <w:r w:rsidRPr="00202F43">
        <w:rPr>
          <w:rFonts w:ascii="Times New Roman" w:hAnsi="Times New Roman" w:cs="Times New Roman"/>
          <w:color w:val="000000" w:themeColor="text1"/>
        </w:rPr>
        <w:t xml:space="preserve"> ziet als oplossing dat kerken op voet van gelijkheid met winti-aanhangers in gesprek gaan, en winti daarmee erkennen als gelijkwaardige godsdienst. Deze opvatting bracht hij prominent naar voren in de discussie, maar vanwege tijdgebrek konden de sprekers vanuit de kerken hier toen niet op in gaan.</w:t>
      </w:r>
    </w:p>
    <w:p w:rsidR="00DB7483" w:rsidRDefault="00DB7483" w:rsidP="00705AC0">
      <w:pPr>
        <w:spacing w:line="276" w:lineRule="auto"/>
        <w:jc w:val="both"/>
        <w:rPr>
          <w:rFonts w:ascii="Times New Roman" w:hAnsi="Times New Roman" w:cs="Times New Roman"/>
        </w:rPr>
      </w:pPr>
    </w:p>
    <w:p w:rsidR="00022DFE" w:rsidRDefault="00022DFE" w:rsidP="00705AC0">
      <w:pPr>
        <w:spacing w:line="276" w:lineRule="auto"/>
        <w:jc w:val="both"/>
        <w:rPr>
          <w:rFonts w:ascii="Times New Roman" w:hAnsi="Times New Roman" w:cs="Times New Roman"/>
        </w:rPr>
      </w:pPr>
    </w:p>
    <w:p w:rsidR="00022DFE" w:rsidRPr="00022DFE" w:rsidRDefault="00022DFE" w:rsidP="00705AC0">
      <w:pPr>
        <w:spacing w:line="276" w:lineRule="auto"/>
        <w:jc w:val="both"/>
        <w:rPr>
          <w:rFonts w:ascii="Times New Roman" w:hAnsi="Times New Roman" w:cs="Times New Roman"/>
          <w:b/>
        </w:rPr>
      </w:pPr>
      <w:r w:rsidRPr="00022DFE">
        <w:rPr>
          <w:rFonts w:ascii="Times New Roman" w:hAnsi="Times New Roman" w:cs="Times New Roman"/>
          <w:b/>
        </w:rPr>
        <w:t>Reactie werkgroep</w:t>
      </w:r>
    </w:p>
    <w:p w:rsidR="00022DFE" w:rsidRDefault="008004F2" w:rsidP="00705AC0">
      <w:pPr>
        <w:spacing w:line="276" w:lineRule="auto"/>
        <w:jc w:val="both"/>
        <w:rPr>
          <w:rFonts w:ascii="Times New Roman" w:hAnsi="Times New Roman" w:cs="Times New Roman"/>
          <w:i/>
        </w:rPr>
      </w:pPr>
      <w:r>
        <w:rPr>
          <w:rFonts w:ascii="Times New Roman" w:hAnsi="Times New Roman" w:cs="Times New Roman"/>
        </w:rPr>
        <w:t>De werkgroep constateert dat in de verklaringen van de Raad van Kerken</w:t>
      </w:r>
      <w:r>
        <w:rPr>
          <w:rStyle w:val="Voetnootmarkering"/>
          <w:rFonts w:ascii="Times New Roman" w:hAnsi="Times New Roman" w:cs="Times New Roman"/>
        </w:rPr>
        <w:footnoteReference w:id="4"/>
      </w:r>
      <w:r>
        <w:rPr>
          <w:rFonts w:ascii="Times New Roman" w:hAnsi="Times New Roman" w:cs="Times New Roman"/>
        </w:rPr>
        <w:t xml:space="preserve"> en van de Evangelische Broedergemeente</w:t>
      </w:r>
      <w:r w:rsidR="004C5BC5">
        <w:rPr>
          <w:rStyle w:val="Voetnootmarkering"/>
          <w:rFonts w:ascii="Times New Roman" w:hAnsi="Times New Roman" w:cs="Times New Roman"/>
        </w:rPr>
        <w:footnoteReference w:id="5"/>
      </w:r>
      <w:r>
        <w:rPr>
          <w:rFonts w:ascii="Times New Roman" w:hAnsi="Times New Roman" w:cs="Times New Roman"/>
        </w:rPr>
        <w:t xml:space="preserve">, bij de herdenking van 150 jaar afschaffing van de slavernij in 2013, </w:t>
      </w:r>
      <w:r w:rsidR="00F17B23">
        <w:rPr>
          <w:rFonts w:ascii="Times New Roman" w:hAnsi="Times New Roman" w:cs="Times New Roman"/>
        </w:rPr>
        <w:t>met name econ</w:t>
      </w:r>
      <w:r w:rsidR="00FC25EF">
        <w:rPr>
          <w:rFonts w:ascii="Times New Roman" w:hAnsi="Times New Roman" w:cs="Times New Roman"/>
        </w:rPr>
        <w:t xml:space="preserve">omische uitbuiting wordt besproken en afgewezen. Er wordt nauwelijks of </w:t>
      </w:r>
      <w:r>
        <w:rPr>
          <w:rFonts w:ascii="Times New Roman" w:hAnsi="Times New Roman" w:cs="Times New Roman"/>
        </w:rPr>
        <w:t xml:space="preserve">geen aandacht geschonken aan de hierboven besproken spirituele dimensie. </w:t>
      </w:r>
      <w:r w:rsidR="00FC25EF">
        <w:rPr>
          <w:rFonts w:ascii="Times New Roman" w:hAnsi="Times New Roman" w:cs="Times New Roman"/>
        </w:rPr>
        <w:t>De Raad van kerken noemt wel dat de tot slaaf gemaakten ‘vrijheid van geloof’ misten, maar werkt dit niet</w:t>
      </w:r>
      <w:r w:rsidR="004B7236">
        <w:rPr>
          <w:rFonts w:ascii="Times New Roman" w:hAnsi="Times New Roman" w:cs="Times New Roman"/>
        </w:rPr>
        <w:t xml:space="preserve"> verder</w:t>
      </w:r>
      <w:r w:rsidR="00FC25EF">
        <w:rPr>
          <w:rFonts w:ascii="Times New Roman" w:hAnsi="Times New Roman" w:cs="Times New Roman"/>
        </w:rPr>
        <w:t xml:space="preserve"> uit. </w:t>
      </w:r>
      <w:r w:rsidR="004C5BC5">
        <w:rPr>
          <w:rFonts w:ascii="Times New Roman" w:hAnsi="Times New Roman" w:cs="Times New Roman"/>
        </w:rPr>
        <w:t>Het spanningsveld tussen de (</w:t>
      </w:r>
      <w:r w:rsidR="00EE7C17">
        <w:rPr>
          <w:rFonts w:ascii="Times New Roman" w:hAnsi="Times New Roman" w:cs="Times New Roman"/>
        </w:rPr>
        <w:t>P</w:t>
      </w:r>
      <w:r w:rsidR="004C5BC5">
        <w:rPr>
          <w:rFonts w:ascii="Times New Roman" w:hAnsi="Times New Roman" w:cs="Times New Roman"/>
        </w:rPr>
        <w:t>rotestantse) godsdienst en de Afro-Caribische religie komt niet aan de orde.</w:t>
      </w:r>
      <w:r w:rsidR="000B7740">
        <w:rPr>
          <w:rFonts w:ascii="Times New Roman" w:hAnsi="Times New Roman" w:cs="Times New Roman"/>
        </w:rPr>
        <w:t xml:space="preserve"> </w:t>
      </w:r>
      <w:r w:rsidR="000B7740" w:rsidRPr="00202F43">
        <w:rPr>
          <w:rFonts w:ascii="Times New Roman" w:hAnsi="Times New Roman" w:cs="Times New Roman"/>
          <w:color w:val="000000" w:themeColor="text1"/>
        </w:rPr>
        <w:t>De werkgroep ziet de genoemde verklaringen als een goede eerste stap, maar pleit voor een vervolg.</w:t>
      </w:r>
      <w:r w:rsidR="004C5BC5">
        <w:rPr>
          <w:rFonts w:ascii="Times New Roman" w:hAnsi="Times New Roman" w:cs="Times New Roman"/>
        </w:rPr>
        <w:t xml:space="preserve"> </w:t>
      </w:r>
      <w:r w:rsidR="004C5BC5" w:rsidRPr="004C5BC5">
        <w:rPr>
          <w:rFonts w:ascii="Times New Roman" w:hAnsi="Times New Roman" w:cs="Times New Roman"/>
          <w:i/>
        </w:rPr>
        <w:t>De werkgroep zal dit bij genoemde organisaties aanhangig maken aan de hand van dit boek.</w:t>
      </w:r>
    </w:p>
    <w:p w:rsidR="004C5BC5" w:rsidRDefault="004C5BC5" w:rsidP="00705AC0">
      <w:pPr>
        <w:spacing w:line="276" w:lineRule="auto"/>
        <w:jc w:val="both"/>
        <w:rPr>
          <w:rFonts w:ascii="Times New Roman" w:hAnsi="Times New Roman" w:cs="Times New Roman"/>
          <w:i/>
        </w:rPr>
      </w:pPr>
    </w:p>
    <w:p w:rsidR="004C5BC5" w:rsidRDefault="008020BE" w:rsidP="00705AC0">
      <w:pPr>
        <w:spacing w:line="276" w:lineRule="auto"/>
        <w:jc w:val="both"/>
        <w:rPr>
          <w:rFonts w:ascii="Times New Roman" w:hAnsi="Times New Roman" w:cs="Times New Roman"/>
        </w:rPr>
      </w:pPr>
      <w:r>
        <w:rPr>
          <w:rFonts w:ascii="Times New Roman" w:hAnsi="Times New Roman" w:cs="Times New Roman"/>
        </w:rPr>
        <w:t xml:space="preserve">Over winti constateren de leden van de werkgroep vanuit de Broedergemeente dat er inderdaad een taboe heerst </w:t>
      </w:r>
      <w:r w:rsidR="004B7236">
        <w:rPr>
          <w:rFonts w:ascii="Times New Roman" w:hAnsi="Times New Roman" w:cs="Times New Roman"/>
        </w:rPr>
        <w:t xml:space="preserve">om te spreken </w:t>
      </w:r>
      <w:r>
        <w:rPr>
          <w:rFonts w:ascii="Times New Roman" w:hAnsi="Times New Roman" w:cs="Times New Roman"/>
        </w:rPr>
        <w:t xml:space="preserve">over dit onderwerp en zij sluiten zich aan bij de oproep van </w:t>
      </w:r>
      <w:proofErr w:type="spellStart"/>
      <w:r>
        <w:rPr>
          <w:rFonts w:ascii="Times New Roman" w:hAnsi="Times New Roman" w:cs="Times New Roman"/>
        </w:rPr>
        <w:t>Welschen</w:t>
      </w:r>
      <w:proofErr w:type="spellEnd"/>
      <w:r>
        <w:rPr>
          <w:rFonts w:ascii="Times New Roman" w:hAnsi="Times New Roman" w:cs="Times New Roman"/>
        </w:rPr>
        <w:t xml:space="preserve"> tot een gesprek. Binnen de Evangelisch-Lutherse Gemeente leeft dit minder en men wacht af wat het EBG-initiatief oplevert. </w:t>
      </w:r>
      <w:r w:rsidR="008C5F4F">
        <w:rPr>
          <w:rFonts w:ascii="Times New Roman" w:hAnsi="Times New Roman" w:cs="Times New Roman"/>
        </w:rPr>
        <w:t xml:space="preserve">Voor een gesprek over de relatie tussen Afrikaanse godsdiensten en het Christendom verwijst de werkgroep naar een studie </w:t>
      </w:r>
      <w:r w:rsidR="008C5F4F">
        <w:rPr>
          <w:rFonts w:ascii="Times New Roman" w:hAnsi="Times New Roman" w:cs="Times New Roman"/>
        </w:rPr>
        <w:lastRenderedPageBreak/>
        <w:t>van de Lutherse Wereldfederatie over dit onderwerp</w:t>
      </w:r>
      <w:r w:rsidR="008C5F4F">
        <w:rPr>
          <w:rStyle w:val="Voetnootmarkering"/>
          <w:rFonts w:ascii="Times New Roman" w:hAnsi="Times New Roman" w:cs="Times New Roman"/>
        </w:rPr>
        <w:footnoteReference w:id="6"/>
      </w:r>
      <w:r w:rsidR="008C5F4F">
        <w:rPr>
          <w:rFonts w:ascii="Times New Roman" w:hAnsi="Times New Roman" w:cs="Times New Roman"/>
        </w:rPr>
        <w:t xml:space="preserve">. Er zijn beslist </w:t>
      </w:r>
      <w:r w:rsidR="004B7236">
        <w:rPr>
          <w:rFonts w:ascii="Times New Roman" w:hAnsi="Times New Roman" w:cs="Times New Roman"/>
        </w:rPr>
        <w:t>punten van overeenstemming</w:t>
      </w:r>
      <w:r w:rsidR="008C5F4F">
        <w:rPr>
          <w:rFonts w:ascii="Times New Roman" w:hAnsi="Times New Roman" w:cs="Times New Roman"/>
        </w:rPr>
        <w:t xml:space="preserve"> aan te wijzen op het gebied van geloof </w:t>
      </w:r>
      <w:r w:rsidR="004B7236">
        <w:rPr>
          <w:rFonts w:ascii="Times New Roman" w:hAnsi="Times New Roman" w:cs="Times New Roman"/>
        </w:rPr>
        <w:t>in God</w:t>
      </w:r>
      <w:r w:rsidR="00EE7C17">
        <w:rPr>
          <w:rFonts w:ascii="Times New Roman" w:hAnsi="Times New Roman" w:cs="Times New Roman"/>
        </w:rPr>
        <w:t>, de werking van de Heilige Geest, genezing als holistisch proces van lichaam en ziel</w:t>
      </w:r>
      <w:r w:rsidR="004B7236">
        <w:rPr>
          <w:rFonts w:ascii="Times New Roman" w:hAnsi="Times New Roman" w:cs="Times New Roman"/>
        </w:rPr>
        <w:t xml:space="preserve"> </w:t>
      </w:r>
      <w:r w:rsidR="008C5F4F">
        <w:rPr>
          <w:rFonts w:ascii="Times New Roman" w:hAnsi="Times New Roman" w:cs="Times New Roman"/>
        </w:rPr>
        <w:t xml:space="preserve">en </w:t>
      </w:r>
      <w:r w:rsidR="00EE7C17">
        <w:rPr>
          <w:rFonts w:ascii="Times New Roman" w:hAnsi="Times New Roman" w:cs="Times New Roman"/>
        </w:rPr>
        <w:t xml:space="preserve">het </w:t>
      </w:r>
      <w:r w:rsidR="004B7236">
        <w:rPr>
          <w:rFonts w:ascii="Times New Roman" w:hAnsi="Times New Roman" w:cs="Times New Roman"/>
        </w:rPr>
        <w:t>inzicht in de een</w:t>
      </w:r>
      <w:r w:rsidR="008C5F4F">
        <w:rPr>
          <w:rFonts w:ascii="Times New Roman" w:hAnsi="Times New Roman" w:cs="Times New Roman"/>
        </w:rPr>
        <w:t xml:space="preserve">heid van de schepping. </w:t>
      </w:r>
    </w:p>
    <w:p w:rsidR="00EB2B98" w:rsidRDefault="00EB2B98" w:rsidP="00705AC0">
      <w:pPr>
        <w:spacing w:line="276" w:lineRule="auto"/>
        <w:jc w:val="both"/>
        <w:rPr>
          <w:rFonts w:ascii="Times New Roman" w:hAnsi="Times New Roman" w:cs="Times New Roman"/>
        </w:rPr>
      </w:pPr>
    </w:p>
    <w:p w:rsidR="00EB2B98" w:rsidRPr="00202F43" w:rsidRDefault="000B7740" w:rsidP="00705AC0">
      <w:pPr>
        <w:spacing w:line="276" w:lineRule="auto"/>
        <w:jc w:val="both"/>
        <w:rPr>
          <w:rFonts w:ascii="Times New Roman" w:hAnsi="Times New Roman" w:cs="Times New Roman"/>
          <w:color w:val="000000" w:themeColor="text1"/>
        </w:rPr>
      </w:pPr>
      <w:r w:rsidRPr="00202F43">
        <w:rPr>
          <w:rFonts w:ascii="Times New Roman" w:hAnsi="Times New Roman" w:cs="Times New Roman"/>
          <w:color w:val="000000" w:themeColor="text1"/>
        </w:rPr>
        <w:t>De visie van Glenn Helberg, dat de kerken winti moeten erkennen als een gelijkwaardige godsdienst, laat de werkgroep voor zijn rekening. De werkgroep is niet de aangewezen instantie om hierover een standpunt in te nemen.</w:t>
      </w:r>
    </w:p>
    <w:p w:rsidR="00444FBE" w:rsidRDefault="00444FBE" w:rsidP="00705AC0">
      <w:pPr>
        <w:spacing w:line="276" w:lineRule="auto"/>
        <w:jc w:val="both"/>
        <w:rPr>
          <w:rFonts w:ascii="Times New Roman" w:hAnsi="Times New Roman" w:cs="Times New Roman"/>
        </w:rPr>
      </w:pPr>
    </w:p>
    <w:p w:rsidR="00444FBE" w:rsidRPr="00444FBE" w:rsidRDefault="00444FBE" w:rsidP="00705AC0">
      <w:pPr>
        <w:spacing w:line="276" w:lineRule="auto"/>
        <w:jc w:val="both"/>
        <w:rPr>
          <w:rFonts w:ascii="Times New Roman" w:hAnsi="Times New Roman" w:cs="Times New Roman"/>
          <w:b/>
        </w:rPr>
      </w:pPr>
      <w:r w:rsidRPr="00444FBE">
        <w:rPr>
          <w:rFonts w:ascii="Times New Roman" w:hAnsi="Times New Roman" w:cs="Times New Roman"/>
          <w:b/>
        </w:rPr>
        <w:t xml:space="preserve">4.2 </w:t>
      </w:r>
      <w:r w:rsidR="00EE7C17">
        <w:rPr>
          <w:rFonts w:ascii="Times New Roman" w:hAnsi="Times New Roman" w:cs="Times New Roman"/>
          <w:b/>
        </w:rPr>
        <w:t>O</w:t>
      </w:r>
      <w:r w:rsidRPr="00444FBE">
        <w:rPr>
          <w:rFonts w:ascii="Times New Roman" w:hAnsi="Times New Roman" w:cs="Times New Roman"/>
          <w:b/>
        </w:rPr>
        <w:t>pschonen van het culturele archief</w:t>
      </w:r>
    </w:p>
    <w:p w:rsidR="00444FBE" w:rsidRDefault="00F27C79" w:rsidP="00705AC0">
      <w:pPr>
        <w:spacing w:line="276" w:lineRule="auto"/>
        <w:jc w:val="both"/>
        <w:rPr>
          <w:rFonts w:ascii="Times New Roman" w:hAnsi="Times New Roman" w:cs="Times New Roman"/>
        </w:rPr>
      </w:pPr>
      <w:r>
        <w:rPr>
          <w:rFonts w:ascii="Times New Roman" w:hAnsi="Times New Roman" w:cs="Times New Roman"/>
        </w:rPr>
        <w:t>Ons culturele archief</w:t>
      </w:r>
      <w:r w:rsidR="005B0A53">
        <w:rPr>
          <w:rStyle w:val="Voetnootmarkering"/>
          <w:rFonts w:ascii="Times New Roman" w:hAnsi="Times New Roman" w:cs="Times New Roman"/>
        </w:rPr>
        <w:footnoteReference w:id="7"/>
      </w:r>
      <w:r>
        <w:rPr>
          <w:rFonts w:ascii="Times New Roman" w:hAnsi="Times New Roman" w:cs="Times New Roman"/>
        </w:rPr>
        <w:t xml:space="preserve"> bestaat uit </w:t>
      </w:r>
      <w:r w:rsidR="000C5656">
        <w:rPr>
          <w:rFonts w:ascii="Times New Roman" w:hAnsi="Times New Roman" w:cs="Times New Roman"/>
        </w:rPr>
        <w:t>de</w:t>
      </w:r>
      <w:r>
        <w:rPr>
          <w:rFonts w:ascii="Times New Roman" w:hAnsi="Times New Roman" w:cs="Times New Roman"/>
        </w:rPr>
        <w:t xml:space="preserve"> vooronderstellingen</w:t>
      </w:r>
      <w:r w:rsidR="005B0A53">
        <w:rPr>
          <w:rFonts w:ascii="Times New Roman" w:hAnsi="Times New Roman" w:cs="Times New Roman"/>
        </w:rPr>
        <w:t xml:space="preserve">, interpretatiekaders, angsten en denkbeelden die ons met de paplepel zijn ingegoten. Letterlijk bijna; het begint in de wieg en gaat ons hele leven door via </w:t>
      </w:r>
      <w:r w:rsidR="000C5656">
        <w:rPr>
          <w:rFonts w:ascii="Times New Roman" w:hAnsi="Times New Roman" w:cs="Times New Roman"/>
        </w:rPr>
        <w:t xml:space="preserve">de </w:t>
      </w:r>
      <w:r w:rsidR="005B0A53">
        <w:rPr>
          <w:rFonts w:ascii="Times New Roman" w:hAnsi="Times New Roman" w:cs="Times New Roman"/>
        </w:rPr>
        <w:t>omgeving</w:t>
      </w:r>
      <w:r w:rsidR="000C5656">
        <w:rPr>
          <w:rFonts w:ascii="Times New Roman" w:hAnsi="Times New Roman" w:cs="Times New Roman"/>
        </w:rPr>
        <w:t xml:space="preserve"> waarin wij leven</w:t>
      </w:r>
      <w:r w:rsidR="005B0A53">
        <w:rPr>
          <w:rFonts w:ascii="Times New Roman" w:hAnsi="Times New Roman" w:cs="Times New Roman"/>
        </w:rPr>
        <w:t xml:space="preserve">, </w:t>
      </w:r>
      <w:r w:rsidR="000C5656">
        <w:rPr>
          <w:rFonts w:ascii="Times New Roman" w:hAnsi="Times New Roman" w:cs="Times New Roman"/>
        </w:rPr>
        <w:t>het onderwijs dat wij volgen</w:t>
      </w:r>
      <w:r w:rsidR="005B0A53">
        <w:rPr>
          <w:rFonts w:ascii="Times New Roman" w:hAnsi="Times New Roman" w:cs="Times New Roman"/>
        </w:rPr>
        <w:t xml:space="preserve">, de boeken die wij lezen, de films en theaters die wij bezoeken en de </w:t>
      </w:r>
      <w:r w:rsidR="000C5656">
        <w:rPr>
          <w:rFonts w:ascii="Times New Roman" w:hAnsi="Times New Roman" w:cs="Times New Roman"/>
        </w:rPr>
        <w:t>TV-programma’s</w:t>
      </w:r>
      <w:r w:rsidR="005B0A53">
        <w:rPr>
          <w:rFonts w:ascii="Times New Roman" w:hAnsi="Times New Roman" w:cs="Times New Roman"/>
        </w:rPr>
        <w:t xml:space="preserve"> die wij bekijken. Daar is niets mis mee. Ieder mens moet weten hoe hij of zij zich kan handhaven te midden van anderen. </w:t>
      </w:r>
    </w:p>
    <w:p w:rsidR="009C20E3" w:rsidRDefault="009C20E3" w:rsidP="00705AC0">
      <w:pPr>
        <w:spacing w:line="276" w:lineRule="auto"/>
        <w:jc w:val="both"/>
        <w:rPr>
          <w:rFonts w:ascii="Times New Roman" w:hAnsi="Times New Roman" w:cs="Times New Roman"/>
        </w:rPr>
      </w:pPr>
    </w:p>
    <w:p w:rsidR="009C20E3" w:rsidRDefault="009C20E3" w:rsidP="00705AC0">
      <w:pPr>
        <w:spacing w:line="276" w:lineRule="auto"/>
        <w:jc w:val="both"/>
        <w:rPr>
          <w:rFonts w:ascii="Times New Roman" w:hAnsi="Times New Roman" w:cs="Times New Roman"/>
        </w:rPr>
      </w:pPr>
      <w:r>
        <w:rPr>
          <w:rFonts w:ascii="Times New Roman" w:hAnsi="Times New Roman" w:cs="Times New Roman"/>
        </w:rPr>
        <w:t>Ons cultureel archief lijkt op een gewoon archief. Er zit van alles in, en vaak zijn wij ons niet bewust wat wij hebben opgeborgen. Maar het gaat verder. Ons culturele archief bepaalt ook onze manier van denken, de manier waarop ‘wit’ denkt over ‘zwart’, maar ook de manier waarop ‘zwart’ denkt over ‘wit’. Ons denken bepaalt ons handelen en het is, zelfs afgezien van de discussie over slavernij en racisme, goed om ons archief regelmatig kritisch te bekijken, na</w:t>
      </w:r>
      <w:r w:rsidR="00EE7C17">
        <w:rPr>
          <w:rFonts w:ascii="Times New Roman" w:hAnsi="Times New Roman" w:cs="Times New Roman"/>
        </w:rPr>
        <w:t xml:space="preserve"> te </w:t>
      </w:r>
      <w:r>
        <w:rPr>
          <w:rFonts w:ascii="Times New Roman" w:hAnsi="Times New Roman" w:cs="Times New Roman"/>
        </w:rPr>
        <w:t>gaan wat er weg kan, en wat er moet worden toegevoegd.</w:t>
      </w:r>
      <w:r w:rsidR="00D30922">
        <w:rPr>
          <w:rFonts w:ascii="Times New Roman" w:hAnsi="Times New Roman" w:cs="Times New Roman"/>
        </w:rPr>
        <w:t xml:space="preserve"> </w:t>
      </w:r>
      <w:r w:rsidR="00FC2187">
        <w:rPr>
          <w:rFonts w:ascii="Times New Roman" w:hAnsi="Times New Roman" w:cs="Times New Roman"/>
        </w:rPr>
        <w:t xml:space="preserve">Belangrijk is dat uit </w:t>
      </w:r>
      <w:r w:rsidR="000C5656">
        <w:rPr>
          <w:rFonts w:ascii="Times New Roman" w:hAnsi="Times New Roman" w:cs="Times New Roman"/>
        </w:rPr>
        <w:t>bovenstaande</w:t>
      </w:r>
      <w:r w:rsidR="00FC2187">
        <w:rPr>
          <w:rFonts w:ascii="Times New Roman" w:hAnsi="Times New Roman" w:cs="Times New Roman"/>
        </w:rPr>
        <w:t xml:space="preserve"> beschrijving blijkt dat het cultureel archief niet iets is van een individu; het is iets van de groep waartoe je behoort. Vandaar de woorden ‘wij’ en ‘ons’ in dit stukje tekst. Verandering is daarom ook iets dat op het niveau van een groep of gemeenschap moet gebeuren, ook al kunnen individuen daarbij het voortouw nemen.</w:t>
      </w:r>
    </w:p>
    <w:p w:rsidR="005B0A53" w:rsidRDefault="005B0A53" w:rsidP="00705AC0">
      <w:pPr>
        <w:spacing w:line="276" w:lineRule="auto"/>
        <w:jc w:val="both"/>
        <w:rPr>
          <w:rFonts w:ascii="Times New Roman" w:hAnsi="Times New Roman" w:cs="Times New Roman"/>
        </w:rPr>
      </w:pPr>
    </w:p>
    <w:p w:rsidR="005B0A53" w:rsidRPr="005B0A53" w:rsidRDefault="005B0A53" w:rsidP="00705AC0">
      <w:pPr>
        <w:spacing w:line="276" w:lineRule="auto"/>
        <w:jc w:val="both"/>
        <w:rPr>
          <w:rFonts w:ascii="Times New Roman" w:hAnsi="Times New Roman" w:cs="Times New Roman"/>
          <w:b/>
        </w:rPr>
      </w:pPr>
      <w:r w:rsidRPr="005B0A53">
        <w:rPr>
          <w:rFonts w:ascii="Times New Roman" w:hAnsi="Times New Roman" w:cs="Times New Roman"/>
          <w:b/>
        </w:rPr>
        <w:t>Adviezen aan de kerken</w:t>
      </w:r>
    </w:p>
    <w:p w:rsidR="00CC12F3" w:rsidRDefault="009C20E3" w:rsidP="00705AC0">
      <w:pPr>
        <w:spacing w:line="276" w:lineRule="auto"/>
        <w:jc w:val="both"/>
        <w:rPr>
          <w:rFonts w:ascii="Times New Roman" w:hAnsi="Times New Roman" w:cs="Times New Roman"/>
        </w:rPr>
      </w:pPr>
      <w:proofErr w:type="spellStart"/>
      <w:r>
        <w:rPr>
          <w:rFonts w:ascii="Times New Roman" w:hAnsi="Times New Roman" w:cs="Times New Roman"/>
        </w:rPr>
        <w:t>Ipenburg</w:t>
      </w:r>
      <w:proofErr w:type="spellEnd"/>
      <w:r w:rsidR="00164B66">
        <w:rPr>
          <w:rStyle w:val="Voetnootmarkering"/>
          <w:rFonts w:ascii="Times New Roman" w:hAnsi="Times New Roman" w:cs="Times New Roman"/>
        </w:rPr>
        <w:footnoteReference w:id="8"/>
      </w:r>
      <w:r>
        <w:rPr>
          <w:rFonts w:ascii="Times New Roman" w:hAnsi="Times New Roman" w:cs="Times New Roman"/>
        </w:rPr>
        <w:t xml:space="preserve"> </w:t>
      </w:r>
      <w:r w:rsidR="00FC25EF">
        <w:rPr>
          <w:rFonts w:ascii="Times New Roman" w:hAnsi="Times New Roman" w:cs="Times New Roman"/>
        </w:rPr>
        <w:t xml:space="preserve">ziet in de </w:t>
      </w:r>
      <w:r w:rsidR="00601B14">
        <w:rPr>
          <w:rFonts w:ascii="Times New Roman" w:hAnsi="Times New Roman" w:cs="Times New Roman"/>
        </w:rPr>
        <w:t>eerder aangehaalde verklaring van de Raad van Kerken een aanknopingspunt om intern het culturele archief kritisch te bekijken. Hij bepleit</w:t>
      </w:r>
      <w:r w:rsidR="00EE7C17">
        <w:rPr>
          <w:rFonts w:ascii="Times New Roman" w:hAnsi="Times New Roman" w:cs="Times New Roman"/>
        </w:rPr>
        <w:t xml:space="preserve"> een</w:t>
      </w:r>
      <w:r w:rsidR="00601B14">
        <w:rPr>
          <w:rFonts w:ascii="Times New Roman" w:hAnsi="Times New Roman" w:cs="Times New Roman"/>
        </w:rPr>
        <w:t xml:space="preserve"> </w:t>
      </w:r>
      <w:proofErr w:type="spellStart"/>
      <w:r w:rsidR="00601B14">
        <w:rPr>
          <w:rFonts w:ascii="Times New Roman" w:hAnsi="Times New Roman" w:cs="Times New Roman"/>
        </w:rPr>
        <w:t>post-koloniaal</w:t>
      </w:r>
      <w:proofErr w:type="spellEnd"/>
      <w:r w:rsidR="00601B14">
        <w:rPr>
          <w:rFonts w:ascii="Times New Roman" w:hAnsi="Times New Roman" w:cs="Times New Roman"/>
        </w:rPr>
        <w:t xml:space="preserve"> christendom waarin de vanzelfsprekendheden uit het koloniale tijdperk</w:t>
      </w:r>
      <w:r w:rsidR="00E23D2C">
        <w:rPr>
          <w:rFonts w:ascii="Times New Roman" w:hAnsi="Times New Roman" w:cs="Times New Roman"/>
        </w:rPr>
        <w:t>,</w:t>
      </w:r>
      <w:r w:rsidR="00601B14">
        <w:rPr>
          <w:rFonts w:ascii="Times New Roman" w:hAnsi="Times New Roman" w:cs="Times New Roman"/>
        </w:rPr>
        <w:t xml:space="preserve"> die dikwijls gepaard gaan met onbewust racisme</w:t>
      </w:r>
      <w:r w:rsidR="00E23D2C">
        <w:rPr>
          <w:rFonts w:ascii="Times New Roman" w:hAnsi="Times New Roman" w:cs="Times New Roman"/>
        </w:rPr>
        <w:t>,</w:t>
      </w:r>
      <w:r w:rsidR="00601B14">
        <w:rPr>
          <w:rFonts w:ascii="Times New Roman" w:hAnsi="Times New Roman" w:cs="Times New Roman"/>
        </w:rPr>
        <w:t xml:space="preserve"> </w:t>
      </w:r>
      <w:r w:rsidR="000C5656">
        <w:rPr>
          <w:rFonts w:ascii="Times New Roman" w:hAnsi="Times New Roman" w:cs="Times New Roman"/>
        </w:rPr>
        <w:t>grondig</w:t>
      </w:r>
      <w:r w:rsidR="00601B14">
        <w:rPr>
          <w:rFonts w:ascii="Times New Roman" w:hAnsi="Times New Roman" w:cs="Times New Roman"/>
        </w:rPr>
        <w:t xml:space="preserve"> worden bekeken. Hij noemt dat een nieuwe zendingsopdracht, intern en in eerste instantie niet gericht op de buitenwereld. </w:t>
      </w:r>
      <w:r w:rsidR="00CC12F3">
        <w:rPr>
          <w:rFonts w:ascii="Times New Roman" w:hAnsi="Times New Roman" w:cs="Times New Roman"/>
        </w:rPr>
        <w:t xml:space="preserve">Een van de </w:t>
      </w:r>
      <w:r w:rsidR="00CC12F3">
        <w:rPr>
          <w:rFonts w:ascii="Times New Roman" w:hAnsi="Times New Roman" w:cs="Times New Roman"/>
        </w:rPr>
        <w:lastRenderedPageBreak/>
        <w:t>middelen is om regelmatig ‘zwarte’ predikanten uit het Caribisch gebied uit te nodigen om deel te nemen aan de prediking en aan daartoe opgerichte gespreksgroepen.</w:t>
      </w:r>
    </w:p>
    <w:p w:rsidR="00FD10BF" w:rsidRDefault="00FD10BF" w:rsidP="00705AC0">
      <w:pPr>
        <w:spacing w:line="276" w:lineRule="auto"/>
        <w:jc w:val="both"/>
        <w:rPr>
          <w:rFonts w:ascii="Times New Roman" w:hAnsi="Times New Roman" w:cs="Times New Roman"/>
        </w:rPr>
      </w:pPr>
    </w:p>
    <w:p w:rsidR="00FD10BF" w:rsidRDefault="00FD10BF" w:rsidP="00705AC0">
      <w:pPr>
        <w:spacing w:line="276" w:lineRule="auto"/>
        <w:jc w:val="both"/>
        <w:rPr>
          <w:rFonts w:ascii="Times New Roman" w:hAnsi="Times New Roman" w:cs="Times New Roman"/>
        </w:rPr>
      </w:pPr>
      <w:r>
        <w:rPr>
          <w:rFonts w:ascii="Times New Roman" w:hAnsi="Times New Roman" w:cs="Times New Roman"/>
        </w:rPr>
        <w:t xml:space="preserve">Het instellen van gespreksgroepen is een middel dat spoort met de aanbeveling van </w:t>
      </w:r>
      <w:proofErr w:type="spellStart"/>
      <w:proofErr w:type="gramStart"/>
      <w:r>
        <w:rPr>
          <w:rFonts w:ascii="Times New Roman" w:hAnsi="Times New Roman" w:cs="Times New Roman"/>
        </w:rPr>
        <w:t>Van</w:t>
      </w:r>
      <w:proofErr w:type="spellEnd"/>
      <w:r w:rsidR="00E23D2C">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Stipriaan</w:t>
      </w:r>
      <w:proofErr w:type="spellEnd"/>
      <w:proofErr w:type="gramEnd"/>
      <w:r>
        <w:rPr>
          <w:rStyle w:val="Voetnootmarkering"/>
          <w:rFonts w:ascii="Times New Roman" w:hAnsi="Times New Roman" w:cs="Times New Roman"/>
        </w:rPr>
        <w:footnoteReference w:id="9"/>
      </w:r>
      <w:r>
        <w:rPr>
          <w:rFonts w:ascii="Times New Roman" w:hAnsi="Times New Roman" w:cs="Times New Roman"/>
        </w:rPr>
        <w:t xml:space="preserve"> om vooral naar elkaar te luisteren. Ga elkaar niet onmiddellijk iets verwijten, ga niet meteen oordelen of spreken over schuld en boete. Probeer elkaar te begrijpen; </w:t>
      </w:r>
      <w:r w:rsidR="003E2986">
        <w:rPr>
          <w:rFonts w:ascii="Times New Roman" w:hAnsi="Times New Roman" w:cs="Times New Roman"/>
        </w:rPr>
        <w:t>ga vooral samen iets doen</w:t>
      </w:r>
      <w:r w:rsidR="00EE7C17">
        <w:rPr>
          <w:rFonts w:ascii="Times New Roman" w:hAnsi="Times New Roman" w:cs="Times New Roman"/>
        </w:rPr>
        <w:t>. D</w:t>
      </w:r>
      <w:r w:rsidR="003E2986">
        <w:rPr>
          <w:rFonts w:ascii="Times New Roman" w:hAnsi="Times New Roman" w:cs="Times New Roman"/>
        </w:rPr>
        <w:t>at kweekt begrip.</w:t>
      </w:r>
    </w:p>
    <w:p w:rsidR="00CC12F3" w:rsidRDefault="00CC12F3" w:rsidP="00705AC0">
      <w:pPr>
        <w:spacing w:line="276" w:lineRule="auto"/>
        <w:jc w:val="both"/>
        <w:rPr>
          <w:rFonts w:ascii="Times New Roman" w:hAnsi="Times New Roman" w:cs="Times New Roman"/>
        </w:rPr>
      </w:pPr>
    </w:p>
    <w:p w:rsidR="005B0A53" w:rsidRDefault="003E2986" w:rsidP="00705AC0">
      <w:pPr>
        <w:spacing w:line="276" w:lineRule="auto"/>
        <w:jc w:val="both"/>
        <w:rPr>
          <w:rFonts w:ascii="Times New Roman" w:hAnsi="Times New Roman" w:cs="Times New Roman"/>
        </w:rPr>
      </w:pPr>
      <w:r>
        <w:rPr>
          <w:rFonts w:ascii="Times New Roman" w:hAnsi="Times New Roman" w:cs="Times New Roman"/>
        </w:rPr>
        <w:t xml:space="preserve">Schuld en boete </w:t>
      </w:r>
      <w:r w:rsidR="000C5656">
        <w:rPr>
          <w:rFonts w:ascii="Times New Roman" w:hAnsi="Times New Roman" w:cs="Times New Roman"/>
        </w:rPr>
        <w:t xml:space="preserve">horen wel bij de verwerking van het verleden. Dat kan </w:t>
      </w:r>
      <w:r>
        <w:rPr>
          <w:rFonts w:ascii="Times New Roman" w:hAnsi="Times New Roman" w:cs="Times New Roman"/>
        </w:rPr>
        <w:t xml:space="preserve">op een kerkelijke manier worden benaderd. </w:t>
      </w:r>
      <w:r w:rsidR="00FD10BF">
        <w:rPr>
          <w:rFonts w:ascii="Times New Roman" w:hAnsi="Times New Roman" w:cs="Times New Roman"/>
        </w:rPr>
        <w:t xml:space="preserve">In een tweede advies wijst </w:t>
      </w:r>
      <w:proofErr w:type="spellStart"/>
      <w:r w:rsidR="00601B14">
        <w:rPr>
          <w:rFonts w:ascii="Times New Roman" w:hAnsi="Times New Roman" w:cs="Times New Roman"/>
        </w:rPr>
        <w:t>Ipenburg</w:t>
      </w:r>
      <w:proofErr w:type="spellEnd"/>
      <w:r w:rsidR="00601B14">
        <w:rPr>
          <w:rFonts w:ascii="Times New Roman" w:hAnsi="Times New Roman" w:cs="Times New Roman"/>
        </w:rPr>
        <w:t xml:space="preserve"> </w:t>
      </w:r>
      <w:r w:rsidR="00FD10BF">
        <w:rPr>
          <w:rFonts w:ascii="Times New Roman" w:hAnsi="Times New Roman" w:cs="Times New Roman"/>
        </w:rPr>
        <w:t xml:space="preserve">op een specifieke deskundigheid van kerken, namelijk het inbedden van rituelen in de liturgie, zoals de voetwassing op Witte Donderdag. Hij pleit voor een verzoeningsritueel tussen ‘wit’ en ‘zwart’. </w:t>
      </w:r>
      <w:r w:rsidR="004803AE">
        <w:rPr>
          <w:rFonts w:ascii="Times New Roman" w:hAnsi="Times New Roman" w:cs="Times New Roman"/>
        </w:rPr>
        <w:t xml:space="preserve">Bij verzoening gaat het om vergeving vragen en vergeving geven. </w:t>
      </w:r>
      <w:r w:rsidR="00FD10BF">
        <w:rPr>
          <w:rFonts w:ascii="Times New Roman" w:hAnsi="Times New Roman" w:cs="Times New Roman"/>
        </w:rPr>
        <w:t xml:space="preserve">Verzoening maakt </w:t>
      </w:r>
      <w:r w:rsidR="004803AE">
        <w:rPr>
          <w:rFonts w:ascii="Times New Roman" w:hAnsi="Times New Roman" w:cs="Times New Roman"/>
        </w:rPr>
        <w:t>beide partijen</w:t>
      </w:r>
      <w:r w:rsidR="00FD10BF">
        <w:rPr>
          <w:rFonts w:ascii="Times New Roman" w:hAnsi="Times New Roman" w:cs="Times New Roman"/>
        </w:rPr>
        <w:t xml:space="preserve"> vrij.</w:t>
      </w:r>
    </w:p>
    <w:p w:rsidR="000C5656" w:rsidRDefault="000C5656" w:rsidP="00705AC0">
      <w:pPr>
        <w:spacing w:line="276" w:lineRule="auto"/>
        <w:jc w:val="both"/>
        <w:rPr>
          <w:rFonts w:ascii="Times New Roman" w:hAnsi="Times New Roman" w:cs="Times New Roman"/>
        </w:rPr>
      </w:pPr>
    </w:p>
    <w:p w:rsidR="003F1246" w:rsidRDefault="003F1246" w:rsidP="00705AC0">
      <w:pPr>
        <w:spacing w:line="276" w:lineRule="auto"/>
        <w:jc w:val="both"/>
        <w:rPr>
          <w:rFonts w:ascii="Times New Roman" w:hAnsi="Times New Roman" w:cs="Times New Roman"/>
        </w:rPr>
      </w:pPr>
      <w:proofErr w:type="spellStart"/>
      <w:r>
        <w:rPr>
          <w:rFonts w:ascii="Times New Roman" w:hAnsi="Times New Roman" w:cs="Times New Roman"/>
        </w:rPr>
        <w:t>Welschen</w:t>
      </w:r>
      <w:proofErr w:type="spellEnd"/>
      <w:r>
        <w:rPr>
          <w:rStyle w:val="Voetnootmarkering"/>
          <w:rFonts w:ascii="Times New Roman" w:hAnsi="Times New Roman" w:cs="Times New Roman"/>
        </w:rPr>
        <w:footnoteReference w:id="10"/>
      </w:r>
      <w:r>
        <w:rPr>
          <w:rFonts w:ascii="Times New Roman" w:hAnsi="Times New Roman" w:cs="Times New Roman"/>
        </w:rPr>
        <w:t xml:space="preserve"> is van mening dat alle</w:t>
      </w:r>
      <w:r w:rsidR="00CA0A23">
        <w:rPr>
          <w:rFonts w:ascii="Times New Roman" w:hAnsi="Times New Roman" w:cs="Times New Roman"/>
        </w:rPr>
        <w:t xml:space="preserve"> </w:t>
      </w:r>
      <w:r>
        <w:rPr>
          <w:rFonts w:ascii="Times New Roman" w:hAnsi="Times New Roman" w:cs="Times New Roman"/>
        </w:rPr>
        <w:t xml:space="preserve">kerken </w:t>
      </w:r>
      <w:r w:rsidR="00CA0A23">
        <w:rPr>
          <w:rFonts w:ascii="Times New Roman" w:hAnsi="Times New Roman" w:cs="Times New Roman"/>
        </w:rPr>
        <w:t xml:space="preserve">kritisch historisch onderzoek dienen te stimuleren naar hun </w:t>
      </w:r>
      <w:r w:rsidR="000C5656">
        <w:rPr>
          <w:rFonts w:ascii="Times New Roman" w:hAnsi="Times New Roman" w:cs="Times New Roman"/>
        </w:rPr>
        <w:t xml:space="preserve">eigen </w:t>
      </w:r>
      <w:r w:rsidR="00CA0A23">
        <w:rPr>
          <w:rFonts w:ascii="Times New Roman" w:hAnsi="Times New Roman" w:cs="Times New Roman"/>
        </w:rPr>
        <w:t xml:space="preserve">rol in de slavernij in het Caribisch gebied. De kerken daar hielden zelf ook slaven. Het is uit het oogpunt van het cultureel archief nodig te weten hoe dat in de praktijk ging en vooral hoe dat </w:t>
      </w:r>
      <w:r w:rsidR="00EE7C17">
        <w:rPr>
          <w:rFonts w:ascii="Times New Roman" w:hAnsi="Times New Roman" w:cs="Times New Roman"/>
        </w:rPr>
        <w:t>B</w:t>
      </w:r>
      <w:r w:rsidR="00CA0A23">
        <w:rPr>
          <w:rFonts w:ascii="Times New Roman" w:hAnsi="Times New Roman" w:cs="Times New Roman"/>
        </w:rPr>
        <w:t>ijbels werd verantwoord.</w:t>
      </w:r>
    </w:p>
    <w:p w:rsidR="000C5656" w:rsidRDefault="000C5656" w:rsidP="00705AC0">
      <w:pPr>
        <w:spacing w:line="276" w:lineRule="auto"/>
        <w:jc w:val="both"/>
        <w:rPr>
          <w:rFonts w:ascii="Times New Roman" w:hAnsi="Times New Roman" w:cs="Times New Roman"/>
        </w:rPr>
      </w:pPr>
    </w:p>
    <w:p w:rsidR="000C5656" w:rsidRDefault="000C5656" w:rsidP="00705AC0">
      <w:pPr>
        <w:spacing w:line="276" w:lineRule="auto"/>
        <w:jc w:val="both"/>
        <w:rPr>
          <w:rFonts w:ascii="Times New Roman" w:hAnsi="Times New Roman" w:cs="Times New Roman"/>
        </w:rPr>
      </w:pPr>
      <w:proofErr w:type="spellStart"/>
      <w:r>
        <w:rPr>
          <w:rFonts w:ascii="Times New Roman" w:hAnsi="Times New Roman" w:cs="Times New Roman"/>
        </w:rPr>
        <w:t>Stoutjesdijk</w:t>
      </w:r>
      <w:proofErr w:type="spellEnd"/>
      <w:r>
        <w:rPr>
          <w:rStyle w:val="Voetnootmarkering"/>
          <w:rFonts w:ascii="Times New Roman" w:hAnsi="Times New Roman" w:cs="Times New Roman"/>
        </w:rPr>
        <w:footnoteReference w:id="11"/>
      </w:r>
      <w:r>
        <w:rPr>
          <w:rFonts w:ascii="Times New Roman" w:hAnsi="Times New Roman" w:cs="Times New Roman"/>
        </w:rPr>
        <w:t xml:space="preserve"> zal het eens zijn met de bepleite interne zendingsopdracht. Maar hij wijst wel op historische voorbeelden van predikanten, zoals Nicolaas Beets, die met alle beschikbare media van </w:t>
      </w:r>
      <w:r w:rsidR="00FF499B">
        <w:rPr>
          <w:rFonts w:ascii="Times New Roman" w:hAnsi="Times New Roman" w:cs="Times New Roman"/>
        </w:rPr>
        <w:t xml:space="preserve">hun tijd met woord en geschrift slavernij bestreden. Zij deden dat niet alleen intern maar ook extern. </w:t>
      </w:r>
      <w:proofErr w:type="spellStart"/>
      <w:r w:rsidR="00FF499B">
        <w:rPr>
          <w:rFonts w:ascii="Times New Roman" w:hAnsi="Times New Roman" w:cs="Times New Roman"/>
        </w:rPr>
        <w:t>Stoutjesdijk</w:t>
      </w:r>
      <w:proofErr w:type="spellEnd"/>
      <w:r w:rsidR="00FF499B">
        <w:rPr>
          <w:rFonts w:ascii="Times New Roman" w:hAnsi="Times New Roman" w:cs="Times New Roman"/>
        </w:rPr>
        <w:t xml:space="preserve"> roept niet alleen predikanten maar alle kerkmensen op om nu, anno 2020, de doorwerking van de slavernij bespreekbaar te maken; en dat met alle beschikbare media, niet alleen de traditionele maar ook sociale media als twitter en facebook, zowel intern als extern.</w:t>
      </w:r>
    </w:p>
    <w:p w:rsidR="003F1246" w:rsidRDefault="003F1246" w:rsidP="00705AC0">
      <w:pPr>
        <w:spacing w:line="276" w:lineRule="auto"/>
        <w:jc w:val="both"/>
        <w:rPr>
          <w:rFonts w:ascii="Times New Roman" w:hAnsi="Times New Roman" w:cs="Times New Roman"/>
        </w:rPr>
      </w:pPr>
    </w:p>
    <w:p w:rsidR="003E2986" w:rsidRPr="003E2986" w:rsidRDefault="003E2986" w:rsidP="00705AC0">
      <w:pPr>
        <w:spacing w:line="276" w:lineRule="auto"/>
        <w:jc w:val="both"/>
        <w:rPr>
          <w:rFonts w:ascii="Times New Roman" w:hAnsi="Times New Roman" w:cs="Times New Roman"/>
          <w:b/>
        </w:rPr>
      </w:pPr>
      <w:r w:rsidRPr="003E2986">
        <w:rPr>
          <w:rFonts w:ascii="Times New Roman" w:hAnsi="Times New Roman" w:cs="Times New Roman"/>
          <w:b/>
        </w:rPr>
        <w:t>Reactie van de werkgroep</w:t>
      </w:r>
    </w:p>
    <w:p w:rsidR="000D5DDE" w:rsidRDefault="003E2986" w:rsidP="00705AC0">
      <w:pPr>
        <w:spacing w:line="276" w:lineRule="auto"/>
        <w:jc w:val="both"/>
        <w:rPr>
          <w:rFonts w:ascii="Times New Roman" w:hAnsi="Times New Roman" w:cs="Times New Roman"/>
        </w:rPr>
      </w:pPr>
      <w:r>
        <w:rPr>
          <w:rFonts w:ascii="Times New Roman" w:hAnsi="Times New Roman" w:cs="Times New Roman"/>
        </w:rPr>
        <w:t>De beide kerken, die essaywedstrijd en symposium hebben (mede-) georganiseerd hebben</w:t>
      </w:r>
      <w:r w:rsidR="00FF499B">
        <w:rPr>
          <w:rFonts w:ascii="Times New Roman" w:hAnsi="Times New Roman" w:cs="Times New Roman"/>
        </w:rPr>
        <w:t xml:space="preserve"> reeds</w:t>
      </w:r>
      <w:r>
        <w:rPr>
          <w:rFonts w:ascii="Times New Roman" w:hAnsi="Times New Roman" w:cs="Times New Roman"/>
        </w:rPr>
        <w:t xml:space="preserve"> stapjes op de hier aangegeven weg gezet. </w:t>
      </w:r>
      <w:r w:rsidR="00BC3042">
        <w:rPr>
          <w:rFonts w:ascii="Times New Roman" w:hAnsi="Times New Roman" w:cs="Times New Roman"/>
        </w:rPr>
        <w:t xml:space="preserve">De preken rond </w:t>
      </w:r>
      <w:proofErr w:type="spellStart"/>
      <w:r w:rsidR="00BC3042">
        <w:rPr>
          <w:rFonts w:ascii="Times New Roman" w:hAnsi="Times New Roman" w:cs="Times New Roman"/>
        </w:rPr>
        <w:t>Keti</w:t>
      </w:r>
      <w:proofErr w:type="spellEnd"/>
      <w:r w:rsidR="00BC3042">
        <w:rPr>
          <w:rFonts w:ascii="Times New Roman" w:hAnsi="Times New Roman" w:cs="Times New Roman"/>
        </w:rPr>
        <w:t xml:space="preserve"> </w:t>
      </w:r>
      <w:proofErr w:type="spellStart"/>
      <w:r w:rsidR="00BC3042">
        <w:rPr>
          <w:rFonts w:ascii="Times New Roman" w:hAnsi="Times New Roman" w:cs="Times New Roman"/>
        </w:rPr>
        <w:t>Koti</w:t>
      </w:r>
      <w:proofErr w:type="spellEnd"/>
      <w:r w:rsidR="00BC3042">
        <w:rPr>
          <w:rFonts w:ascii="Times New Roman" w:hAnsi="Times New Roman" w:cs="Times New Roman"/>
        </w:rPr>
        <w:t xml:space="preserve"> die in deel 3 van dit boek zijn afgedrukt, zijn </w:t>
      </w:r>
      <w:r w:rsidR="00F25744">
        <w:rPr>
          <w:rFonts w:ascii="Times New Roman" w:hAnsi="Times New Roman" w:cs="Times New Roman"/>
        </w:rPr>
        <w:t xml:space="preserve">ook </w:t>
      </w:r>
      <w:r w:rsidR="00BC3042">
        <w:rPr>
          <w:rFonts w:ascii="Times New Roman" w:hAnsi="Times New Roman" w:cs="Times New Roman"/>
        </w:rPr>
        <w:t xml:space="preserve">een poging om recht te doen aan de voorouders van de ‘zwarte’ gemeenteleden. En dit boek probeert kritisch te kijken naar ons cultureel archief. De toespraken van </w:t>
      </w:r>
      <w:proofErr w:type="spellStart"/>
      <w:r w:rsidR="00CD0CCE">
        <w:rPr>
          <w:rFonts w:ascii="Times New Roman" w:hAnsi="Times New Roman" w:cs="Times New Roman"/>
        </w:rPr>
        <w:t>V</w:t>
      </w:r>
      <w:r w:rsidR="00BC3042">
        <w:rPr>
          <w:rFonts w:ascii="Times New Roman" w:hAnsi="Times New Roman" w:cs="Times New Roman"/>
        </w:rPr>
        <w:t>an</w:t>
      </w:r>
      <w:proofErr w:type="spellEnd"/>
      <w:r w:rsidR="00BC3042">
        <w:rPr>
          <w:rFonts w:ascii="Times New Roman" w:hAnsi="Times New Roman" w:cs="Times New Roman"/>
        </w:rPr>
        <w:t xml:space="preserve"> </w:t>
      </w:r>
      <w:proofErr w:type="spellStart"/>
      <w:r w:rsidR="00BC3042">
        <w:rPr>
          <w:rFonts w:ascii="Times New Roman" w:hAnsi="Times New Roman" w:cs="Times New Roman"/>
        </w:rPr>
        <w:t>Stipriaan</w:t>
      </w:r>
      <w:proofErr w:type="spellEnd"/>
      <w:r w:rsidR="00BC3042">
        <w:rPr>
          <w:rFonts w:ascii="Times New Roman" w:hAnsi="Times New Roman" w:cs="Times New Roman"/>
        </w:rPr>
        <w:t xml:space="preserve"> over het slavernijverleden en van Helberg over de doorwerking</w:t>
      </w:r>
      <w:r w:rsidR="00FF499B">
        <w:rPr>
          <w:rFonts w:ascii="Times New Roman" w:hAnsi="Times New Roman" w:cs="Times New Roman"/>
        </w:rPr>
        <w:t xml:space="preserve"> daarvan</w:t>
      </w:r>
      <w:r w:rsidR="00BC3042">
        <w:rPr>
          <w:rFonts w:ascii="Times New Roman" w:hAnsi="Times New Roman" w:cs="Times New Roman"/>
        </w:rPr>
        <w:t xml:space="preserve"> in het heden zijn voorbeelden</w:t>
      </w:r>
      <w:r w:rsidR="00F25744">
        <w:rPr>
          <w:rFonts w:ascii="Times New Roman" w:hAnsi="Times New Roman" w:cs="Times New Roman"/>
        </w:rPr>
        <w:t xml:space="preserve"> daarvan</w:t>
      </w:r>
      <w:r w:rsidR="00BC3042">
        <w:rPr>
          <w:rFonts w:ascii="Times New Roman" w:hAnsi="Times New Roman" w:cs="Times New Roman"/>
        </w:rPr>
        <w:t xml:space="preserve">. </w:t>
      </w:r>
      <w:r w:rsidR="000D5DDE">
        <w:rPr>
          <w:rFonts w:ascii="Times New Roman" w:hAnsi="Times New Roman" w:cs="Times New Roman"/>
        </w:rPr>
        <w:t xml:space="preserve">Maar er heeft geen systematische analyse plaats gevonden en daardoor ook geen systematische opruiming. </w:t>
      </w:r>
    </w:p>
    <w:p w:rsidR="000D5DDE" w:rsidRDefault="000D5DDE" w:rsidP="00705AC0">
      <w:pPr>
        <w:spacing w:line="276" w:lineRule="auto"/>
        <w:jc w:val="both"/>
        <w:rPr>
          <w:rFonts w:ascii="Times New Roman" w:hAnsi="Times New Roman" w:cs="Times New Roman"/>
        </w:rPr>
      </w:pPr>
    </w:p>
    <w:p w:rsidR="000D5DDE" w:rsidRDefault="000D5DDE" w:rsidP="00705AC0">
      <w:pPr>
        <w:spacing w:line="276" w:lineRule="auto"/>
        <w:jc w:val="both"/>
        <w:rPr>
          <w:rFonts w:ascii="Times New Roman" w:hAnsi="Times New Roman" w:cs="Times New Roman"/>
          <w:i/>
        </w:rPr>
      </w:pPr>
      <w:r>
        <w:rPr>
          <w:rFonts w:ascii="Times New Roman" w:hAnsi="Times New Roman" w:cs="Times New Roman"/>
        </w:rPr>
        <w:t xml:space="preserve">Het instellen van gespreksgroepen over ons cultureel archief kan een eerste stap zijn in de aanbevolen richting, maar er zullen op zijn minst gesprekshandleidingen gemaakt moeten worden. Daarbij moet onderscheid gemaakt worden tussen de kerken die bijna uitsluitend ‘wit’ zijn zoals de meeste PKN-gemeentes en gemengde gemeentes zoals de EBG en de </w:t>
      </w:r>
      <w:r>
        <w:rPr>
          <w:rFonts w:ascii="Times New Roman" w:hAnsi="Times New Roman" w:cs="Times New Roman"/>
        </w:rPr>
        <w:lastRenderedPageBreak/>
        <w:t xml:space="preserve">Amsterdamse Lutheranen. Gesprekshandleidingen zullen daarop moeten worden aangepast. Wij horen vaak de opmerking ‘in onze (‘witte’) gemeente speelt de slavernijdiscussie niet’, maar dat betekent dat die gemeente zich niet bewust is van het eigen culturele archief. </w:t>
      </w:r>
      <w:r w:rsidRPr="000D5DDE">
        <w:rPr>
          <w:rFonts w:ascii="Times New Roman" w:hAnsi="Times New Roman" w:cs="Times New Roman"/>
          <w:i/>
        </w:rPr>
        <w:t>De werkgroep steunt het opzetten van gespreksgroepen en zal wegen zoeken om tot gesprekshandleidingen te komen.</w:t>
      </w:r>
      <w:r w:rsidR="00CA0A23">
        <w:rPr>
          <w:rFonts w:ascii="Times New Roman" w:hAnsi="Times New Roman" w:cs="Times New Roman"/>
        </w:rPr>
        <w:t xml:space="preserve"> Het kritisch historisch onderzoek waarop </w:t>
      </w:r>
      <w:proofErr w:type="spellStart"/>
      <w:r w:rsidR="00CA0A23">
        <w:rPr>
          <w:rFonts w:ascii="Times New Roman" w:hAnsi="Times New Roman" w:cs="Times New Roman"/>
        </w:rPr>
        <w:t>Welschen</w:t>
      </w:r>
      <w:proofErr w:type="spellEnd"/>
      <w:r w:rsidR="00CA0A23">
        <w:rPr>
          <w:rFonts w:ascii="Times New Roman" w:hAnsi="Times New Roman" w:cs="Times New Roman"/>
        </w:rPr>
        <w:t xml:space="preserve"> doelt, kan informatie genereren, die </w:t>
      </w:r>
      <w:r w:rsidR="00FF499B">
        <w:rPr>
          <w:rFonts w:ascii="Times New Roman" w:hAnsi="Times New Roman" w:cs="Times New Roman"/>
        </w:rPr>
        <w:t>bruikbaar is voor</w:t>
      </w:r>
      <w:r w:rsidR="00CA0A23">
        <w:rPr>
          <w:rFonts w:ascii="Times New Roman" w:hAnsi="Times New Roman" w:cs="Times New Roman"/>
        </w:rPr>
        <w:t xml:space="preserve"> gesprekshandleidingen. </w:t>
      </w:r>
      <w:r w:rsidR="00CA0A23" w:rsidRPr="00CA0A23">
        <w:rPr>
          <w:rFonts w:ascii="Times New Roman" w:hAnsi="Times New Roman" w:cs="Times New Roman"/>
          <w:i/>
        </w:rPr>
        <w:t xml:space="preserve">De werkgroep steunt daarom zijn oproep tot historisch-kritisch onderzoek. </w:t>
      </w:r>
    </w:p>
    <w:p w:rsidR="00FF499B" w:rsidRDefault="00FF499B" w:rsidP="00705AC0">
      <w:pPr>
        <w:spacing w:line="276" w:lineRule="auto"/>
        <w:jc w:val="both"/>
        <w:rPr>
          <w:rFonts w:ascii="Times New Roman" w:hAnsi="Times New Roman" w:cs="Times New Roman"/>
          <w:i/>
        </w:rPr>
      </w:pPr>
    </w:p>
    <w:p w:rsidR="00FF499B" w:rsidRPr="00FF499B" w:rsidRDefault="00FF499B" w:rsidP="00705AC0">
      <w:pPr>
        <w:spacing w:line="276" w:lineRule="auto"/>
        <w:jc w:val="both"/>
        <w:rPr>
          <w:rFonts w:ascii="Times New Roman" w:hAnsi="Times New Roman" w:cs="Times New Roman"/>
        </w:rPr>
      </w:pPr>
      <w:r>
        <w:rPr>
          <w:rFonts w:ascii="Times New Roman" w:hAnsi="Times New Roman" w:cs="Times New Roman"/>
        </w:rPr>
        <w:t xml:space="preserve">De oproep van </w:t>
      </w:r>
      <w:proofErr w:type="spellStart"/>
      <w:r>
        <w:rPr>
          <w:rFonts w:ascii="Times New Roman" w:hAnsi="Times New Roman" w:cs="Times New Roman"/>
        </w:rPr>
        <w:t>Stoutjesdijk</w:t>
      </w:r>
      <w:proofErr w:type="spellEnd"/>
      <w:r>
        <w:rPr>
          <w:rFonts w:ascii="Times New Roman" w:hAnsi="Times New Roman" w:cs="Times New Roman"/>
        </w:rPr>
        <w:t xml:space="preserve"> aan ieder gemeentelid om via alle media bij te dragen aan ‘heilzame verwerking’ kan iedereen zich ter harte nemen. De werkgroep wijst er wel op dat in de door hem genoemde voorbeelden steeds een enkele begaafde scribent of redenaar het voortouw nam. Wie van de lezers neemt de uitdaging aan?</w:t>
      </w:r>
    </w:p>
    <w:p w:rsidR="000D5DDE" w:rsidRDefault="000D5DDE" w:rsidP="00705AC0">
      <w:pPr>
        <w:spacing w:line="276" w:lineRule="auto"/>
        <w:jc w:val="both"/>
        <w:rPr>
          <w:rFonts w:ascii="Times New Roman" w:hAnsi="Times New Roman" w:cs="Times New Roman"/>
        </w:rPr>
      </w:pPr>
    </w:p>
    <w:p w:rsidR="00FD10BF" w:rsidRDefault="00B83678" w:rsidP="00705AC0">
      <w:pPr>
        <w:spacing w:line="276" w:lineRule="auto"/>
        <w:jc w:val="both"/>
        <w:rPr>
          <w:rFonts w:ascii="Times New Roman" w:hAnsi="Times New Roman" w:cs="Times New Roman"/>
        </w:rPr>
      </w:pPr>
      <w:r>
        <w:rPr>
          <w:rFonts w:ascii="Times New Roman" w:hAnsi="Times New Roman" w:cs="Times New Roman"/>
        </w:rPr>
        <w:t xml:space="preserve">Het opnemen van een verzoeningsritueel in de liturgie van de zondag waar rond 1 juli aandacht wordt besteed aan </w:t>
      </w:r>
      <w:proofErr w:type="spellStart"/>
      <w:r>
        <w:rPr>
          <w:rFonts w:ascii="Times New Roman" w:hAnsi="Times New Roman" w:cs="Times New Roman"/>
        </w:rPr>
        <w:t>Keti-Koti</w:t>
      </w:r>
      <w:proofErr w:type="spellEnd"/>
      <w:r>
        <w:rPr>
          <w:rFonts w:ascii="Times New Roman" w:hAnsi="Times New Roman" w:cs="Times New Roman"/>
        </w:rPr>
        <w:t xml:space="preserve"> is een uitstekend idee, waar wij zelf niet aan gedacht hebben. </w:t>
      </w:r>
      <w:r w:rsidRPr="00B83678">
        <w:rPr>
          <w:rFonts w:ascii="Times New Roman" w:hAnsi="Times New Roman" w:cs="Times New Roman"/>
          <w:i/>
        </w:rPr>
        <w:t>De werkgroep zal via de landelijke organisaties van EBG respectievelijk PKN aan liturgen vragen om met concepten te komen.</w:t>
      </w:r>
      <w:r>
        <w:rPr>
          <w:rFonts w:ascii="Times New Roman" w:hAnsi="Times New Roman" w:cs="Times New Roman"/>
        </w:rPr>
        <w:t xml:space="preserve"> Die kunnen dan in de Amsterdamse kerken worden getest. In een gespreksgroep na afloop van de dienst kunnen reacties op de proef-liturgie worden besproken.</w:t>
      </w:r>
    </w:p>
    <w:p w:rsidR="00CA0A23" w:rsidRDefault="00CA0A23" w:rsidP="00705AC0">
      <w:pPr>
        <w:spacing w:line="276" w:lineRule="auto"/>
        <w:jc w:val="both"/>
        <w:rPr>
          <w:rFonts w:ascii="Times New Roman" w:hAnsi="Times New Roman" w:cs="Times New Roman"/>
        </w:rPr>
      </w:pPr>
    </w:p>
    <w:p w:rsidR="00B83678" w:rsidRDefault="00B83678" w:rsidP="00705AC0">
      <w:pPr>
        <w:spacing w:line="276" w:lineRule="auto"/>
        <w:jc w:val="both"/>
        <w:rPr>
          <w:rFonts w:ascii="Times New Roman" w:hAnsi="Times New Roman" w:cs="Times New Roman"/>
        </w:rPr>
      </w:pPr>
    </w:p>
    <w:p w:rsidR="00B83678" w:rsidRPr="00162393" w:rsidRDefault="00162393" w:rsidP="00705AC0">
      <w:pPr>
        <w:spacing w:line="276" w:lineRule="auto"/>
        <w:jc w:val="both"/>
        <w:rPr>
          <w:rFonts w:ascii="Times New Roman" w:hAnsi="Times New Roman" w:cs="Times New Roman"/>
          <w:b/>
        </w:rPr>
      </w:pPr>
      <w:r w:rsidRPr="00162393">
        <w:rPr>
          <w:rFonts w:ascii="Times New Roman" w:hAnsi="Times New Roman" w:cs="Times New Roman"/>
          <w:b/>
        </w:rPr>
        <w:t>4.3 Compensatie en genoegdoening</w:t>
      </w:r>
    </w:p>
    <w:p w:rsidR="00162393" w:rsidRDefault="00162393" w:rsidP="00705AC0">
      <w:pPr>
        <w:spacing w:line="276" w:lineRule="auto"/>
        <w:jc w:val="both"/>
        <w:rPr>
          <w:rFonts w:ascii="Times New Roman" w:hAnsi="Times New Roman" w:cs="Times New Roman"/>
        </w:rPr>
      </w:pPr>
      <w:r>
        <w:rPr>
          <w:rFonts w:ascii="Times New Roman" w:hAnsi="Times New Roman" w:cs="Times New Roman"/>
        </w:rPr>
        <w:t xml:space="preserve">De drijvende kracht achter de Trans-Atlantische slavenhandel was de behoefte aan </w:t>
      </w:r>
      <w:r w:rsidR="003F1246">
        <w:rPr>
          <w:rFonts w:ascii="Times New Roman" w:hAnsi="Times New Roman" w:cs="Times New Roman"/>
        </w:rPr>
        <w:t xml:space="preserve">zware </w:t>
      </w:r>
      <w:r>
        <w:rPr>
          <w:rFonts w:ascii="Times New Roman" w:hAnsi="Times New Roman" w:cs="Times New Roman"/>
        </w:rPr>
        <w:t xml:space="preserve">arbeid </w:t>
      </w:r>
      <w:r w:rsidR="003F1246">
        <w:rPr>
          <w:rFonts w:ascii="Times New Roman" w:hAnsi="Times New Roman" w:cs="Times New Roman"/>
        </w:rPr>
        <w:t>in de koffie</w:t>
      </w:r>
      <w:r w:rsidR="00FF499B">
        <w:rPr>
          <w:rFonts w:ascii="Times New Roman" w:hAnsi="Times New Roman" w:cs="Times New Roman"/>
        </w:rPr>
        <w:t>-</w:t>
      </w:r>
      <w:r w:rsidR="003F1246">
        <w:rPr>
          <w:rFonts w:ascii="Times New Roman" w:hAnsi="Times New Roman" w:cs="Times New Roman"/>
        </w:rPr>
        <w:t xml:space="preserve"> en suikerplantages in het Caribisch gebied. Als beloning kregen de tot slaaf gemaakten te weinig om van te leven en te veel om dood te gaan, zoals het spreekwoord zegt. De winst op hun arbeid ging naar Nederland. Op het hoogtepunt van de plantage economie rond 1770 droeg dit ongeveer 5% bij tot het Bruto Nationaal product van de toenmalige Nederlanden</w:t>
      </w:r>
      <w:r w:rsidR="003F1246">
        <w:rPr>
          <w:rStyle w:val="Voetnootmarkering"/>
          <w:rFonts w:ascii="Times New Roman" w:hAnsi="Times New Roman" w:cs="Times New Roman"/>
        </w:rPr>
        <w:footnoteReference w:id="12"/>
      </w:r>
      <w:r w:rsidR="003F1246">
        <w:rPr>
          <w:rFonts w:ascii="Times New Roman" w:hAnsi="Times New Roman" w:cs="Times New Roman"/>
        </w:rPr>
        <w:t>.</w:t>
      </w:r>
    </w:p>
    <w:p w:rsidR="00CA0A23" w:rsidRDefault="00CA0A23" w:rsidP="00705AC0">
      <w:pPr>
        <w:spacing w:line="276" w:lineRule="auto"/>
        <w:jc w:val="both"/>
        <w:rPr>
          <w:rFonts w:ascii="Times New Roman" w:hAnsi="Times New Roman" w:cs="Times New Roman"/>
        </w:rPr>
      </w:pPr>
    </w:p>
    <w:p w:rsidR="00CA0A23" w:rsidRDefault="00CA0A23" w:rsidP="00705AC0">
      <w:pPr>
        <w:spacing w:line="276" w:lineRule="auto"/>
        <w:jc w:val="both"/>
        <w:rPr>
          <w:rFonts w:ascii="Times New Roman" w:hAnsi="Times New Roman" w:cs="Times New Roman"/>
        </w:rPr>
      </w:pPr>
      <w:r>
        <w:rPr>
          <w:rFonts w:ascii="Times New Roman" w:hAnsi="Times New Roman" w:cs="Times New Roman"/>
        </w:rPr>
        <w:t xml:space="preserve">Het is momenteel onduidelijk in welke mate Nederlandse kerken financieel hebben geprofiteerd van slavernij en slavenhandel. Voor de Engelse </w:t>
      </w:r>
      <w:r w:rsidR="0038284B">
        <w:rPr>
          <w:rFonts w:ascii="Times New Roman" w:hAnsi="Times New Roman" w:cs="Times New Roman"/>
        </w:rPr>
        <w:t xml:space="preserve">London </w:t>
      </w:r>
      <w:proofErr w:type="spellStart"/>
      <w:r w:rsidR="0038284B">
        <w:rPr>
          <w:rFonts w:ascii="Times New Roman" w:hAnsi="Times New Roman" w:cs="Times New Roman"/>
        </w:rPr>
        <w:t>Missionary</w:t>
      </w:r>
      <w:proofErr w:type="spellEnd"/>
      <w:r w:rsidR="0038284B">
        <w:rPr>
          <w:rFonts w:ascii="Times New Roman" w:hAnsi="Times New Roman" w:cs="Times New Roman"/>
        </w:rPr>
        <w:t xml:space="preserve"> Society is dit wel nagegaan en daar was het aanzienlijk. Dat leidde tot een rapport</w:t>
      </w:r>
      <w:r w:rsidR="0038284B">
        <w:rPr>
          <w:rStyle w:val="Voetnootmarkering"/>
          <w:rFonts w:ascii="Times New Roman" w:hAnsi="Times New Roman" w:cs="Times New Roman"/>
        </w:rPr>
        <w:footnoteReference w:id="13"/>
      </w:r>
      <w:r w:rsidR="0038284B">
        <w:rPr>
          <w:rFonts w:ascii="Times New Roman" w:hAnsi="Times New Roman" w:cs="Times New Roman"/>
        </w:rPr>
        <w:t xml:space="preserve"> dat oproept tot financiële herstelbetalingen. </w:t>
      </w:r>
    </w:p>
    <w:p w:rsidR="00255B29" w:rsidRDefault="00255B29" w:rsidP="00705AC0">
      <w:pPr>
        <w:spacing w:line="276" w:lineRule="auto"/>
        <w:jc w:val="both"/>
        <w:rPr>
          <w:rFonts w:ascii="Times New Roman" w:hAnsi="Times New Roman" w:cs="Times New Roman"/>
        </w:rPr>
      </w:pPr>
    </w:p>
    <w:p w:rsidR="00255B29" w:rsidRPr="00255B29" w:rsidRDefault="00255B29" w:rsidP="00705AC0">
      <w:pPr>
        <w:spacing w:line="276" w:lineRule="auto"/>
        <w:jc w:val="both"/>
        <w:rPr>
          <w:rFonts w:ascii="Times New Roman" w:hAnsi="Times New Roman" w:cs="Times New Roman"/>
          <w:b/>
        </w:rPr>
      </w:pPr>
      <w:r w:rsidRPr="00255B29">
        <w:rPr>
          <w:rFonts w:ascii="Times New Roman" w:hAnsi="Times New Roman" w:cs="Times New Roman"/>
          <w:b/>
        </w:rPr>
        <w:t>Advies aan de kerken</w:t>
      </w:r>
    </w:p>
    <w:p w:rsidR="00255B29" w:rsidRDefault="00255B29" w:rsidP="00705AC0">
      <w:pPr>
        <w:spacing w:line="276" w:lineRule="auto"/>
        <w:jc w:val="both"/>
        <w:rPr>
          <w:rFonts w:ascii="Times New Roman" w:hAnsi="Times New Roman" w:cs="Times New Roman"/>
        </w:rPr>
      </w:pPr>
      <w:r>
        <w:rPr>
          <w:rFonts w:ascii="Times New Roman" w:hAnsi="Times New Roman" w:cs="Times New Roman"/>
        </w:rPr>
        <w:t xml:space="preserve">In de hoofdstukken in dit boek wordt niet gevraagd om een zak met geld ter beschikking te stellen aan de nazaten van de tot slaaf gemaakten. Wel worden punten genoemd waarop iets zou moeten gebeuren. </w:t>
      </w:r>
      <w:proofErr w:type="spellStart"/>
      <w:r>
        <w:rPr>
          <w:rFonts w:ascii="Times New Roman" w:hAnsi="Times New Roman" w:cs="Times New Roman"/>
        </w:rPr>
        <w:t>Mangroelal</w:t>
      </w:r>
      <w:proofErr w:type="spellEnd"/>
      <w:r>
        <w:rPr>
          <w:rStyle w:val="Voetnootmarkering"/>
          <w:rFonts w:ascii="Times New Roman" w:hAnsi="Times New Roman" w:cs="Times New Roman"/>
        </w:rPr>
        <w:footnoteReference w:id="14"/>
      </w:r>
      <w:r>
        <w:rPr>
          <w:rFonts w:ascii="Times New Roman" w:hAnsi="Times New Roman" w:cs="Times New Roman"/>
        </w:rPr>
        <w:t xml:space="preserve"> constateert dat het die nazaten vaak ontbreekt aan zelfrespect en zelfbewustzijn.</w:t>
      </w:r>
      <w:r w:rsidR="00761B16">
        <w:rPr>
          <w:rFonts w:ascii="Times New Roman" w:hAnsi="Times New Roman" w:cs="Times New Roman"/>
        </w:rPr>
        <w:t xml:space="preserve"> Hij schrijft dat </w:t>
      </w:r>
      <w:r w:rsidR="004738C8">
        <w:rPr>
          <w:rFonts w:ascii="Times New Roman" w:hAnsi="Times New Roman" w:cs="Times New Roman"/>
        </w:rPr>
        <w:t xml:space="preserve">onder andere </w:t>
      </w:r>
      <w:r w:rsidR="00761B16">
        <w:rPr>
          <w:rFonts w:ascii="Times New Roman" w:hAnsi="Times New Roman" w:cs="Times New Roman"/>
        </w:rPr>
        <w:t>toe aan</w:t>
      </w:r>
      <w:r w:rsidR="004738C8">
        <w:rPr>
          <w:rFonts w:ascii="Times New Roman" w:hAnsi="Times New Roman" w:cs="Times New Roman"/>
        </w:rPr>
        <w:t xml:space="preserve"> het geschiedenisonderwijs in Nederland. De helden zijn Tromp en de Ruyter; Afro voorouders die zich krachtig hebben verzet tegen de koloniale overheersing komen niet aan de orde. In het literatuuronderwijs </w:t>
      </w:r>
      <w:r w:rsidR="004738C8">
        <w:rPr>
          <w:rFonts w:ascii="Times New Roman" w:hAnsi="Times New Roman" w:cs="Times New Roman"/>
        </w:rPr>
        <w:lastRenderedPageBreak/>
        <w:t>wordt weinig of geen aandacht besteed aan Caribische Letteren, terwijl de boeken van Albert Helman en Anton de Kom al lang beschikbaar zijn.</w:t>
      </w:r>
      <w:r w:rsidR="005D0924">
        <w:rPr>
          <w:rFonts w:ascii="Times New Roman" w:hAnsi="Times New Roman" w:cs="Times New Roman"/>
        </w:rPr>
        <w:t xml:space="preserve"> De informatie is aanwezig. Het moet niet moeilijk zijn Afro-elementen in het onderwijs op te nemen.</w:t>
      </w:r>
    </w:p>
    <w:p w:rsidR="004738C8" w:rsidRDefault="004738C8" w:rsidP="00705AC0">
      <w:pPr>
        <w:spacing w:line="276" w:lineRule="auto"/>
        <w:jc w:val="both"/>
        <w:rPr>
          <w:rFonts w:ascii="Times New Roman" w:hAnsi="Times New Roman" w:cs="Times New Roman"/>
        </w:rPr>
      </w:pPr>
    </w:p>
    <w:p w:rsidR="004738C8" w:rsidRDefault="004738C8" w:rsidP="00705AC0">
      <w:pPr>
        <w:spacing w:line="276" w:lineRule="auto"/>
        <w:jc w:val="both"/>
        <w:rPr>
          <w:rFonts w:ascii="Times New Roman" w:hAnsi="Times New Roman" w:cs="Times New Roman"/>
        </w:rPr>
      </w:pPr>
      <w:r>
        <w:rPr>
          <w:rFonts w:ascii="Times New Roman" w:hAnsi="Times New Roman" w:cs="Times New Roman"/>
        </w:rPr>
        <w:t xml:space="preserve">Pearl </w:t>
      </w:r>
      <w:proofErr w:type="spellStart"/>
      <w:r>
        <w:rPr>
          <w:rFonts w:ascii="Times New Roman" w:hAnsi="Times New Roman" w:cs="Times New Roman"/>
        </w:rPr>
        <w:t>Gerding</w:t>
      </w:r>
      <w:proofErr w:type="spellEnd"/>
      <w:r>
        <w:rPr>
          <w:rStyle w:val="Voetnootmarkering"/>
          <w:rFonts w:ascii="Times New Roman" w:hAnsi="Times New Roman" w:cs="Times New Roman"/>
        </w:rPr>
        <w:footnoteReference w:id="15"/>
      </w:r>
      <w:r>
        <w:rPr>
          <w:rFonts w:ascii="Times New Roman" w:hAnsi="Times New Roman" w:cs="Times New Roman"/>
        </w:rPr>
        <w:t xml:space="preserve"> is niet specifiek over de manier waarop compensatie moet worden gegeven voor het slavernijverleden; zij bepleit dat kerken met de overheid overleggen hoe dat zou kunnen gebeuren.</w:t>
      </w:r>
    </w:p>
    <w:p w:rsidR="004738C8" w:rsidRDefault="004738C8" w:rsidP="00705AC0">
      <w:pPr>
        <w:spacing w:line="276" w:lineRule="auto"/>
        <w:jc w:val="both"/>
        <w:rPr>
          <w:rFonts w:ascii="Times New Roman" w:hAnsi="Times New Roman" w:cs="Times New Roman"/>
        </w:rPr>
      </w:pPr>
    </w:p>
    <w:p w:rsidR="004738C8" w:rsidRPr="004738C8" w:rsidRDefault="004738C8" w:rsidP="00705AC0">
      <w:pPr>
        <w:spacing w:line="276" w:lineRule="auto"/>
        <w:jc w:val="both"/>
        <w:rPr>
          <w:rFonts w:ascii="Times New Roman" w:hAnsi="Times New Roman" w:cs="Times New Roman"/>
          <w:b/>
        </w:rPr>
      </w:pPr>
      <w:r w:rsidRPr="004738C8">
        <w:rPr>
          <w:rFonts w:ascii="Times New Roman" w:hAnsi="Times New Roman" w:cs="Times New Roman"/>
          <w:b/>
        </w:rPr>
        <w:t>Reactie van de werkgroep</w:t>
      </w:r>
    </w:p>
    <w:p w:rsidR="004738C8" w:rsidRDefault="005D0924" w:rsidP="00705AC0">
      <w:pPr>
        <w:spacing w:line="276" w:lineRule="auto"/>
        <w:jc w:val="both"/>
        <w:rPr>
          <w:rFonts w:ascii="Times New Roman" w:hAnsi="Times New Roman" w:cs="Times New Roman"/>
        </w:rPr>
      </w:pPr>
      <w:r>
        <w:rPr>
          <w:rFonts w:ascii="Times New Roman" w:hAnsi="Times New Roman" w:cs="Times New Roman"/>
        </w:rPr>
        <w:t xml:space="preserve">De werkgroep ondersteunt de voorstellen van </w:t>
      </w:r>
      <w:proofErr w:type="spellStart"/>
      <w:r>
        <w:rPr>
          <w:rFonts w:ascii="Times New Roman" w:hAnsi="Times New Roman" w:cs="Times New Roman"/>
        </w:rPr>
        <w:t>Mangroelal</w:t>
      </w:r>
      <w:proofErr w:type="spellEnd"/>
      <w:r>
        <w:rPr>
          <w:rFonts w:ascii="Times New Roman" w:hAnsi="Times New Roman" w:cs="Times New Roman"/>
        </w:rPr>
        <w:t xml:space="preserve">. Het gaat om de landelijke </w:t>
      </w:r>
      <w:r w:rsidR="00BD04C9">
        <w:rPr>
          <w:rFonts w:ascii="Times New Roman" w:hAnsi="Times New Roman" w:cs="Times New Roman"/>
        </w:rPr>
        <w:t>onderwijsprogramma’s</w:t>
      </w:r>
      <w:r>
        <w:rPr>
          <w:rFonts w:ascii="Times New Roman" w:hAnsi="Times New Roman" w:cs="Times New Roman"/>
        </w:rPr>
        <w:t xml:space="preserve">. </w:t>
      </w:r>
      <w:r w:rsidRPr="005D0924">
        <w:rPr>
          <w:rFonts w:ascii="Times New Roman" w:hAnsi="Times New Roman" w:cs="Times New Roman"/>
          <w:i/>
        </w:rPr>
        <w:t>De werkgroep zal acties van NINSEE ondersteunen om de kracht van de voorouders, zowel fysiek als moreel en intellectueel in het Nederlandse onderwijs aan de orde te stellen.</w:t>
      </w:r>
      <w:r>
        <w:rPr>
          <w:rFonts w:ascii="Times New Roman" w:hAnsi="Times New Roman" w:cs="Times New Roman"/>
        </w:rPr>
        <w:t xml:space="preserve"> Daarmee wordt althans een deel van het advies van Pearl </w:t>
      </w:r>
      <w:proofErr w:type="spellStart"/>
      <w:r>
        <w:rPr>
          <w:rFonts w:ascii="Times New Roman" w:hAnsi="Times New Roman" w:cs="Times New Roman"/>
        </w:rPr>
        <w:t>Gerding</w:t>
      </w:r>
      <w:proofErr w:type="spellEnd"/>
      <w:r>
        <w:rPr>
          <w:rFonts w:ascii="Times New Roman" w:hAnsi="Times New Roman" w:cs="Times New Roman"/>
        </w:rPr>
        <w:t xml:space="preserve"> gehonoreerd.</w:t>
      </w:r>
    </w:p>
    <w:p w:rsidR="003F1246" w:rsidRDefault="003F1246" w:rsidP="00705AC0">
      <w:pPr>
        <w:spacing w:line="276" w:lineRule="auto"/>
        <w:jc w:val="both"/>
        <w:rPr>
          <w:rFonts w:ascii="Times New Roman" w:hAnsi="Times New Roman" w:cs="Times New Roman"/>
        </w:rPr>
      </w:pPr>
    </w:p>
    <w:p w:rsidR="003F1246" w:rsidRDefault="003F1246" w:rsidP="00705AC0">
      <w:pPr>
        <w:spacing w:line="276" w:lineRule="auto"/>
        <w:jc w:val="both"/>
        <w:rPr>
          <w:rFonts w:ascii="Times New Roman" w:hAnsi="Times New Roman" w:cs="Times New Roman"/>
        </w:rPr>
      </w:pPr>
    </w:p>
    <w:p w:rsidR="00FD10BF" w:rsidRDefault="00FD10BF" w:rsidP="00705AC0">
      <w:pPr>
        <w:spacing w:line="276" w:lineRule="auto"/>
        <w:jc w:val="both"/>
        <w:rPr>
          <w:rFonts w:ascii="Times New Roman" w:hAnsi="Times New Roman" w:cs="Times New Roman"/>
        </w:rPr>
      </w:pPr>
    </w:p>
    <w:p w:rsidR="008020BE" w:rsidRDefault="008020BE" w:rsidP="00705AC0">
      <w:pPr>
        <w:spacing w:line="276" w:lineRule="auto"/>
        <w:jc w:val="both"/>
        <w:rPr>
          <w:rFonts w:ascii="Times New Roman" w:hAnsi="Times New Roman" w:cs="Times New Roman"/>
        </w:rPr>
      </w:pPr>
    </w:p>
    <w:p w:rsidR="008020BE" w:rsidRPr="004C5BC5" w:rsidRDefault="008020BE" w:rsidP="00705AC0">
      <w:pPr>
        <w:spacing w:line="276" w:lineRule="auto"/>
        <w:jc w:val="both"/>
        <w:rPr>
          <w:rFonts w:ascii="Times New Roman" w:hAnsi="Times New Roman" w:cs="Times New Roman"/>
        </w:rPr>
      </w:pPr>
    </w:p>
    <w:sectPr w:rsidR="008020BE" w:rsidRPr="004C5BC5" w:rsidSect="00584091">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D28" w:rsidRDefault="00183D28" w:rsidP="00AB5BB1">
      <w:r>
        <w:separator/>
      </w:r>
    </w:p>
  </w:endnote>
  <w:endnote w:type="continuationSeparator" w:id="0">
    <w:p w:rsidR="00183D28" w:rsidRDefault="00183D28" w:rsidP="00AB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491943207"/>
      <w:docPartObj>
        <w:docPartGallery w:val="Page Numbers (Bottom of Page)"/>
        <w:docPartUnique/>
      </w:docPartObj>
    </w:sdtPr>
    <w:sdtEndPr>
      <w:rPr>
        <w:rStyle w:val="Paginanummer"/>
      </w:rPr>
    </w:sdtEndPr>
    <w:sdtContent>
      <w:p w:rsidR="00AE6B78" w:rsidRDefault="00C15E47" w:rsidP="00694C63">
        <w:pPr>
          <w:pStyle w:val="Voettekst"/>
          <w:framePr w:wrap="none" w:vAnchor="text" w:hAnchor="margin" w:xAlign="right" w:y="1"/>
          <w:rPr>
            <w:rStyle w:val="Paginanummer"/>
          </w:rPr>
        </w:pPr>
        <w:r>
          <w:rPr>
            <w:rStyle w:val="Paginanummer"/>
          </w:rPr>
          <w:fldChar w:fldCharType="begin"/>
        </w:r>
        <w:r w:rsidR="00AE6B78">
          <w:rPr>
            <w:rStyle w:val="Paginanummer"/>
          </w:rPr>
          <w:instrText xml:space="preserve"> PAGE </w:instrText>
        </w:r>
        <w:r>
          <w:rPr>
            <w:rStyle w:val="Paginanummer"/>
          </w:rPr>
          <w:fldChar w:fldCharType="end"/>
        </w:r>
      </w:p>
    </w:sdtContent>
  </w:sdt>
  <w:p w:rsidR="00AE6B78" w:rsidRDefault="00AE6B78" w:rsidP="00AE6B7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56312050"/>
      <w:docPartObj>
        <w:docPartGallery w:val="Page Numbers (Bottom of Page)"/>
        <w:docPartUnique/>
      </w:docPartObj>
    </w:sdtPr>
    <w:sdtEndPr>
      <w:rPr>
        <w:rStyle w:val="Paginanummer"/>
      </w:rPr>
    </w:sdtEndPr>
    <w:sdtContent>
      <w:p w:rsidR="00AE6B78" w:rsidRDefault="00C15E47" w:rsidP="00694C63">
        <w:pPr>
          <w:pStyle w:val="Voettekst"/>
          <w:framePr w:wrap="none" w:vAnchor="text" w:hAnchor="margin" w:xAlign="right" w:y="1"/>
          <w:rPr>
            <w:rStyle w:val="Paginanummer"/>
          </w:rPr>
        </w:pPr>
        <w:r>
          <w:rPr>
            <w:rStyle w:val="Paginanummer"/>
          </w:rPr>
          <w:fldChar w:fldCharType="begin"/>
        </w:r>
        <w:r w:rsidR="00AE6B78">
          <w:rPr>
            <w:rStyle w:val="Paginanummer"/>
          </w:rPr>
          <w:instrText xml:space="preserve"> PAGE </w:instrText>
        </w:r>
        <w:r>
          <w:rPr>
            <w:rStyle w:val="Paginanummer"/>
          </w:rPr>
          <w:fldChar w:fldCharType="separate"/>
        </w:r>
        <w:r w:rsidR="002A5872">
          <w:rPr>
            <w:rStyle w:val="Paginanummer"/>
            <w:noProof/>
          </w:rPr>
          <w:t>3</w:t>
        </w:r>
        <w:r>
          <w:rPr>
            <w:rStyle w:val="Paginanummer"/>
          </w:rPr>
          <w:fldChar w:fldCharType="end"/>
        </w:r>
      </w:p>
    </w:sdtContent>
  </w:sdt>
  <w:p w:rsidR="00AE6B78" w:rsidRDefault="00AE6B78" w:rsidP="00AE6B7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D28" w:rsidRDefault="00183D28" w:rsidP="00AB5BB1">
      <w:r>
        <w:separator/>
      </w:r>
    </w:p>
  </w:footnote>
  <w:footnote w:type="continuationSeparator" w:id="0">
    <w:p w:rsidR="00183D28" w:rsidRDefault="00183D28" w:rsidP="00AB5BB1">
      <w:r>
        <w:continuationSeparator/>
      </w:r>
    </w:p>
  </w:footnote>
  <w:footnote w:id="1">
    <w:p w:rsidR="00FC2187" w:rsidRDefault="00FC2187">
      <w:pPr>
        <w:pStyle w:val="Voetnoottekst"/>
      </w:pPr>
      <w:r>
        <w:rPr>
          <w:rStyle w:val="Voetnootmarkering"/>
        </w:rPr>
        <w:footnoteRef/>
      </w:r>
      <w:r>
        <w:t xml:space="preserve"> Hoofdstuk 2.6</w:t>
      </w:r>
    </w:p>
  </w:footnote>
  <w:footnote w:id="2">
    <w:p w:rsidR="00FC2187" w:rsidRDefault="00FC2187">
      <w:pPr>
        <w:pStyle w:val="Voetnoottekst"/>
      </w:pPr>
      <w:r>
        <w:rPr>
          <w:rStyle w:val="Voetnootmarkering"/>
        </w:rPr>
        <w:footnoteRef/>
      </w:r>
      <w:r>
        <w:t xml:space="preserve"> Hoofdstuk 2.5</w:t>
      </w:r>
    </w:p>
  </w:footnote>
  <w:footnote w:id="3">
    <w:p w:rsidR="00DB7483" w:rsidRDefault="00DB7483" w:rsidP="00DB7483">
      <w:pPr>
        <w:pStyle w:val="Voetnoottekst"/>
      </w:pPr>
      <w:r>
        <w:rPr>
          <w:rStyle w:val="Voetnootmarkering"/>
        </w:rPr>
        <w:footnoteRef/>
      </w:r>
      <w:r>
        <w:t xml:space="preserve"> Hoofdstuk 2.3</w:t>
      </w:r>
    </w:p>
  </w:footnote>
  <w:footnote w:id="4">
    <w:p w:rsidR="008004F2" w:rsidRDefault="008004F2">
      <w:pPr>
        <w:pStyle w:val="Voetnoottekst"/>
      </w:pPr>
      <w:r>
        <w:rPr>
          <w:rStyle w:val="Voetnootmarkering"/>
        </w:rPr>
        <w:footnoteRef/>
      </w:r>
      <w:r>
        <w:t xml:space="preserve"> Hoofdstuk </w:t>
      </w:r>
      <w:r w:rsidR="004C5BC5">
        <w:t>3.7</w:t>
      </w:r>
    </w:p>
  </w:footnote>
  <w:footnote w:id="5">
    <w:p w:rsidR="004C5BC5" w:rsidRDefault="004C5BC5">
      <w:pPr>
        <w:pStyle w:val="Voetnoottekst"/>
      </w:pPr>
      <w:r>
        <w:rPr>
          <w:rStyle w:val="Voetnootmarkering"/>
        </w:rPr>
        <w:footnoteRef/>
      </w:r>
      <w:r>
        <w:t xml:space="preserve"> Hoofdstuk 3.6</w:t>
      </w:r>
    </w:p>
  </w:footnote>
  <w:footnote w:id="6">
    <w:p w:rsidR="008C5F4F" w:rsidRPr="00865763" w:rsidRDefault="008C5F4F">
      <w:pPr>
        <w:pStyle w:val="Voetnoottekst"/>
      </w:pPr>
      <w:r>
        <w:rPr>
          <w:rStyle w:val="Voetnootmarkering"/>
        </w:rPr>
        <w:footnoteRef/>
      </w:r>
      <w:r w:rsidRPr="000D7CE4">
        <w:rPr>
          <w:lang w:val="en-US"/>
        </w:rPr>
        <w:t xml:space="preserve"> Crisis of Life in African </w:t>
      </w:r>
      <w:r w:rsidR="004B7236" w:rsidRPr="000D7CE4">
        <w:rPr>
          <w:lang w:val="en-US"/>
        </w:rPr>
        <w:t>R</w:t>
      </w:r>
      <w:r w:rsidRPr="000D7CE4">
        <w:rPr>
          <w:lang w:val="en-US"/>
        </w:rPr>
        <w:t>eligion and Christianity, LWF studies 02/2002, Lutheran World Federation, ISBN 3-906706-87-7</w:t>
      </w:r>
      <w:r w:rsidR="002A5872">
        <w:rPr>
          <w:lang w:val="en-US"/>
        </w:rPr>
        <w:t xml:space="preserve">. </w:t>
      </w:r>
      <w:proofErr w:type="spellStart"/>
      <w:r w:rsidR="00B42598">
        <w:rPr>
          <w:lang w:val="en-US"/>
        </w:rPr>
        <w:t>Uit</w:t>
      </w:r>
      <w:r w:rsidR="002A5872" w:rsidRPr="002A5872">
        <w:rPr>
          <w:lang w:val="en-US"/>
        </w:rPr>
        <w:t xml:space="preserve"> </w:t>
      </w:r>
      <w:r w:rsidR="00B42598">
        <w:rPr>
          <w:lang w:val="en-US"/>
        </w:rPr>
        <w:t>het</w:t>
      </w:r>
      <w:proofErr w:type="spellEnd"/>
      <w:r w:rsidR="002A5872" w:rsidRPr="002A5872">
        <w:rPr>
          <w:lang w:val="en-US"/>
        </w:rPr>
        <w:t xml:space="preserve"> LWF </w:t>
      </w:r>
      <w:proofErr w:type="spellStart"/>
      <w:r w:rsidR="002A5872" w:rsidRPr="002A5872">
        <w:rPr>
          <w:lang w:val="en-US"/>
        </w:rPr>
        <w:t>studieprogramma</w:t>
      </w:r>
      <w:proofErr w:type="spellEnd"/>
      <w:r w:rsidR="002A5872" w:rsidRPr="002A5872">
        <w:rPr>
          <w:lang w:val="en-US"/>
        </w:rPr>
        <w:t xml:space="preserve"> “Spiritualistic Movements as a Global Challenge to </w:t>
      </w:r>
      <w:proofErr w:type="spellStart"/>
      <w:proofErr w:type="gramStart"/>
      <w:r w:rsidR="002A5872" w:rsidRPr="002A5872">
        <w:rPr>
          <w:lang w:val="en-US"/>
        </w:rPr>
        <w:t>Churches”</w:t>
      </w:r>
      <w:r w:rsidR="00B42598">
        <w:rPr>
          <w:lang w:val="en-US"/>
        </w:rPr>
        <w:t>ontstonden</w:t>
      </w:r>
      <w:proofErr w:type="spellEnd"/>
      <w:proofErr w:type="gramEnd"/>
      <w:r w:rsidR="002A5872" w:rsidRPr="00865763">
        <w:rPr>
          <w:lang w:val="en-US"/>
        </w:rPr>
        <w:t xml:space="preserve">: </w:t>
      </w:r>
      <w:r w:rsidR="002A5872">
        <w:rPr>
          <w:lang w:val="en-US"/>
        </w:rPr>
        <w:t>“</w:t>
      </w:r>
      <w:r w:rsidR="002A5872" w:rsidRPr="00865763">
        <w:rPr>
          <w:lang w:val="en-US"/>
        </w:rPr>
        <w:t>Ancestors, Spirits and</w:t>
      </w:r>
      <w:r w:rsidR="002A5872">
        <w:rPr>
          <w:lang w:val="en-US"/>
        </w:rPr>
        <w:t xml:space="preserve"> </w:t>
      </w:r>
      <w:r w:rsidR="002A5872" w:rsidRPr="00865763">
        <w:rPr>
          <w:lang w:val="en-US"/>
        </w:rPr>
        <w:t>Healing in Africa and</w:t>
      </w:r>
      <w:r w:rsidR="002A5872">
        <w:rPr>
          <w:lang w:val="en-US"/>
        </w:rPr>
        <w:t xml:space="preserve"> Asia: A Challenge to the Church” (ISBN 3-905676-44-3) </w:t>
      </w:r>
      <w:proofErr w:type="spellStart"/>
      <w:r w:rsidR="002A5872">
        <w:rPr>
          <w:lang w:val="en-US"/>
        </w:rPr>
        <w:t>en</w:t>
      </w:r>
      <w:proofErr w:type="spellEnd"/>
      <w:r w:rsidR="002A5872">
        <w:rPr>
          <w:lang w:val="en-US"/>
        </w:rPr>
        <w:t xml:space="preserve"> “</w:t>
      </w:r>
      <w:proofErr w:type="spellStart"/>
      <w:r w:rsidR="002A5872">
        <w:rPr>
          <w:lang w:val="en-US"/>
        </w:rPr>
        <w:t>Espiritualismo</w:t>
      </w:r>
      <w:proofErr w:type="spellEnd"/>
      <w:r w:rsidR="002A5872">
        <w:rPr>
          <w:lang w:val="en-US"/>
        </w:rPr>
        <w:t>/</w:t>
      </w:r>
      <w:proofErr w:type="spellStart"/>
      <w:r w:rsidR="002A5872">
        <w:rPr>
          <w:lang w:val="en-US"/>
        </w:rPr>
        <w:t>Espiritismo</w:t>
      </w:r>
      <w:proofErr w:type="spellEnd"/>
      <w:r w:rsidR="002A5872">
        <w:rPr>
          <w:lang w:val="en-US"/>
        </w:rPr>
        <w:t xml:space="preserve">: </w:t>
      </w:r>
      <w:proofErr w:type="spellStart"/>
      <w:r w:rsidR="002A5872">
        <w:rPr>
          <w:lang w:val="en-US"/>
        </w:rPr>
        <w:t>Desafios</w:t>
      </w:r>
      <w:proofErr w:type="spellEnd"/>
      <w:r w:rsidR="002A5872">
        <w:rPr>
          <w:lang w:val="en-US"/>
        </w:rPr>
        <w:t xml:space="preserve"> para a </w:t>
      </w:r>
      <w:proofErr w:type="spellStart"/>
      <w:r w:rsidR="002A5872">
        <w:rPr>
          <w:lang w:val="en-US"/>
        </w:rPr>
        <w:t>Igreja</w:t>
      </w:r>
      <w:proofErr w:type="spellEnd"/>
      <w:r w:rsidR="002A5872">
        <w:rPr>
          <w:lang w:val="en-US"/>
        </w:rPr>
        <w:t xml:space="preserve"> </w:t>
      </w:r>
      <w:proofErr w:type="spellStart"/>
      <w:r w:rsidR="002A5872">
        <w:rPr>
          <w:lang w:val="en-US"/>
        </w:rPr>
        <w:t>na</w:t>
      </w:r>
      <w:proofErr w:type="spellEnd"/>
      <w:r w:rsidR="002A5872">
        <w:rPr>
          <w:lang w:val="en-US"/>
        </w:rPr>
        <w:t xml:space="preserve"> América Latina (ISBN 85-233-0745-1). </w:t>
      </w:r>
      <w:r w:rsidR="00B42598">
        <w:t>Samenvatting</w:t>
      </w:r>
      <w:bookmarkStart w:id="0" w:name="_GoBack"/>
      <w:bookmarkEnd w:id="0"/>
      <w:r w:rsidR="002A5872">
        <w:t xml:space="preserve"> in </w:t>
      </w:r>
      <w:r w:rsidR="008D4B2E" w:rsidRPr="00865763">
        <w:t xml:space="preserve">“Spirits, </w:t>
      </w:r>
      <w:proofErr w:type="spellStart"/>
      <w:r w:rsidR="008D4B2E" w:rsidRPr="00865763">
        <w:t>Ancestors</w:t>
      </w:r>
      <w:proofErr w:type="spellEnd"/>
      <w:r w:rsidR="008D4B2E" w:rsidRPr="00865763">
        <w:t xml:space="preserve"> </w:t>
      </w:r>
      <w:proofErr w:type="spellStart"/>
      <w:r w:rsidR="008D4B2E" w:rsidRPr="00865763">
        <w:t>and</w:t>
      </w:r>
      <w:proofErr w:type="spellEnd"/>
      <w:r w:rsidR="008D4B2E" w:rsidRPr="00865763">
        <w:t xml:space="preserve"> </w:t>
      </w:r>
      <w:proofErr w:type="spellStart"/>
      <w:r w:rsidR="008D4B2E" w:rsidRPr="00865763">
        <w:t>Healing</w:t>
      </w:r>
      <w:proofErr w:type="spellEnd"/>
      <w:r w:rsidR="008D4B2E" w:rsidRPr="00865763">
        <w:t xml:space="preserve">: A Global Challenge </w:t>
      </w:r>
      <w:proofErr w:type="spellStart"/>
      <w:r w:rsidR="008D4B2E" w:rsidRPr="00865763">
        <w:t>to</w:t>
      </w:r>
      <w:proofErr w:type="spellEnd"/>
      <w:r w:rsidR="008D4B2E" w:rsidRPr="00865763">
        <w:t xml:space="preserve"> </w:t>
      </w:r>
      <w:proofErr w:type="spellStart"/>
      <w:r w:rsidR="008D4B2E" w:rsidRPr="00865763">
        <w:t>the</w:t>
      </w:r>
      <w:proofErr w:type="spellEnd"/>
      <w:r w:rsidR="008D4B2E" w:rsidRPr="00865763">
        <w:t xml:space="preserve"> </w:t>
      </w:r>
      <w:proofErr w:type="spellStart"/>
      <w:r w:rsidR="008D4B2E" w:rsidRPr="00865763">
        <w:t>Church</w:t>
      </w:r>
      <w:proofErr w:type="spellEnd"/>
      <w:r w:rsidR="008D4B2E" w:rsidRPr="00865763">
        <w:t xml:space="preserve"> – A resource </w:t>
      </w:r>
      <w:proofErr w:type="spellStart"/>
      <w:r w:rsidR="008D4B2E" w:rsidRPr="00865763">
        <w:t>for</w:t>
      </w:r>
      <w:proofErr w:type="spellEnd"/>
      <w:r w:rsidR="008D4B2E" w:rsidRPr="00865763">
        <w:t xml:space="preserve"> </w:t>
      </w:r>
      <w:proofErr w:type="spellStart"/>
      <w:r w:rsidR="008D4B2E" w:rsidRPr="00865763">
        <w:t>discussion</w:t>
      </w:r>
      <w:proofErr w:type="spellEnd"/>
      <w:r w:rsidR="002A5872">
        <w:t>”</w:t>
      </w:r>
      <w:r w:rsidR="008D4B2E" w:rsidRPr="00865763">
        <w:t>, Gen</w:t>
      </w:r>
      <w:r w:rsidR="002A5872" w:rsidRPr="002A5872">
        <w:t>eva 2006 ISBN3-905676-49-4</w:t>
      </w:r>
      <w:r w:rsidR="008D4B2E" w:rsidRPr="00865763">
        <w:t>.</w:t>
      </w:r>
    </w:p>
  </w:footnote>
  <w:footnote w:id="7">
    <w:p w:rsidR="005B0A53" w:rsidRDefault="005B0A53">
      <w:pPr>
        <w:pStyle w:val="Voetnoottekst"/>
      </w:pPr>
      <w:r>
        <w:rPr>
          <w:rStyle w:val="Voetnootmarkering"/>
        </w:rPr>
        <w:footnoteRef/>
      </w:r>
      <w:r>
        <w:t xml:space="preserve"> Het begrip ‘cultureel archief’ is ontwikkeld door Edward Said in Culture </w:t>
      </w:r>
      <w:proofErr w:type="spellStart"/>
      <w:r>
        <w:t>and</w:t>
      </w:r>
      <w:proofErr w:type="spellEnd"/>
      <w:r>
        <w:t xml:space="preserve"> </w:t>
      </w:r>
      <w:proofErr w:type="spellStart"/>
      <w:r>
        <w:t>Imperialism</w:t>
      </w:r>
      <w:proofErr w:type="spellEnd"/>
      <w:r>
        <w:t xml:space="preserve">, London, Vintage 1993 en in Nederland overgenomen door Gloria Wekker, Witte Onschuld, Paradoxen van kolonialisme en ras, Amsterdam University Press, 2016 (zie </w:t>
      </w:r>
      <w:proofErr w:type="spellStart"/>
      <w:r>
        <w:t>pag</w:t>
      </w:r>
      <w:proofErr w:type="spellEnd"/>
      <w:r>
        <w:t xml:space="preserve"> 8)</w:t>
      </w:r>
    </w:p>
  </w:footnote>
  <w:footnote w:id="8">
    <w:p w:rsidR="00164B66" w:rsidRDefault="00164B66">
      <w:pPr>
        <w:pStyle w:val="Voetnoottekst"/>
      </w:pPr>
      <w:r>
        <w:rPr>
          <w:rStyle w:val="Voetnootmarkering"/>
        </w:rPr>
        <w:footnoteRef/>
      </w:r>
      <w:r>
        <w:t xml:space="preserve"> Hoofdstuk 1.3</w:t>
      </w:r>
    </w:p>
  </w:footnote>
  <w:footnote w:id="9">
    <w:p w:rsidR="00FD10BF" w:rsidRDefault="00FD10BF">
      <w:pPr>
        <w:pStyle w:val="Voetnoottekst"/>
      </w:pPr>
      <w:r>
        <w:rPr>
          <w:rStyle w:val="Voetnootmarkering"/>
        </w:rPr>
        <w:footnoteRef/>
      </w:r>
      <w:r>
        <w:t xml:space="preserve"> Hoofdstuk 2.4</w:t>
      </w:r>
    </w:p>
  </w:footnote>
  <w:footnote w:id="10">
    <w:p w:rsidR="003F1246" w:rsidRDefault="003F1246">
      <w:pPr>
        <w:pStyle w:val="Voetnoottekst"/>
      </w:pPr>
      <w:r>
        <w:rPr>
          <w:rStyle w:val="Voetnootmarkering"/>
        </w:rPr>
        <w:footnoteRef/>
      </w:r>
      <w:r>
        <w:t xml:space="preserve"> Hoofdstuk 2.6</w:t>
      </w:r>
    </w:p>
  </w:footnote>
  <w:footnote w:id="11">
    <w:p w:rsidR="000C5656" w:rsidRDefault="000C5656">
      <w:pPr>
        <w:pStyle w:val="Voetnoottekst"/>
      </w:pPr>
      <w:r>
        <w:rPr>
          <w:rStyle w:val="Voetnootmarkering"/>
        </w:rPr>
        <w:footnoteRef/>
      </w:r>
      <w:r>
        <w:t xml:space="preserve"> Hoofdstuk 1.5</w:t>
      </w:r>
    </w:p>
  </w:footnote>
  <w:footnote w:id="12">
    <w:p w:rsidR="003F1246" w:rsidRDefault="003F1246">
      <w:pPr>
        <w:pStyle w:val="Voetnoottekst"/>
      </w:pPr>
      <w:r>
        <w:rPr>
          <w:rStyle w:val="Voetnootmarkering"/>
        </w:rPr>
        <w:footnoteRef/>
      </w:r>
      <w:r>
        <w:t xml:space="preserve"> Voetnoot 2 in hoofdstuk 3.4</w:t>
      </w:r>
    </w:p>
  </w:footnote>
  <w:footnote w:id="13">
    <w:p w:rsidR="0038284B" w:rsidRPr="00EE63DD" w:rsidRDefault="0038284B">
      <w:pPr>
        <w:pStyle w:val="Voetnoottekst"/>
        <w:rPr>
          <w:lang w:val="en-US"/>
        </w:rPr>
      </w:pPr>
      <w:r>
        <w:rPr>
          <w:rStyle w:val="Voetnootmarkering"/>
        </w:rPr>
        <w:footnoteRef/>
      </w:r>
      <w:r w:rsidRPr="00EE63DD">
        <w:rPr>
          <w:lang w:val="en-US"/>
        </w:rPr>
        <w:t xml:space="preserve"> Legacies of Slavery, Core Group Report 2018, Council For World Mission</w:t>
      </w:r>
    </w:p>
  </w:footnote>
  <w:footnote w:id="14">
    <w:p w:rsidR="00255B29" w:rsidRDefault="00255B29">
      <w:pPr>
        <w:pStyle w:val="Voetnoottekst"/>
      </w:pPr>
      <w:r>
        <w:rPr>
          <w:rStyle w:val="Voetnootmarkering"/>
        </w:rPr>
        <w:footnoteRef/>
      </w:r>
      <w:r>
        <w:t xml:space="preserve"> Hoofdstuk 1.4</w:t>
      </w:r>
    </w:p>
  </w:footnote>
  <w:footnote w:id="15">
    <w:p w:rsidR="004738C8" w:rsidRDefault="004738C8">
      <w:pPr>
        <w:pStyle w:val="Voetnoottekst"/>
      </w:pPr>
      <w:r>
        <w:rPr>
          <w:rStyle w:val="Voetnootmarkering"/>
        </w:rPr>
        <w:footnoteRef/>
      </w:r>
      <w:r>
        <w:t xml:space="preserve"> Hoofdstuk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BB1" w:rsidRPr="00AB5BB1" w:rsidRDefault="00AB5BB1">
    <w:pPr>
      <w:pStyle w:val="Koptekst"/>
      <w:rPr>
        <w:rFonts w:ascii="Times New Roman" w:hAnsi="Times New Roman" w:cs="Times New Roman"/>
        <w:sz w:val="20"/>
        <w:szCs w:val="20"/>
      </w:rPr>
    </w:pPr>
    <w:r w:rsidRPr="00AB5BB1">
      <w:rPr>
        <w:rFonts w:ascii="Times New Roman" w:hAnsi="Times New Roman" w:cs="Times New Roman"/>
        <w:sz w:val="20"/>
        <w:szCs w:val="20"/>
      </w:rPr>
      <w:t>4.0 De weg vooruit</w:t>
    </w:r>
  </w:p>
  <w:p w:rsidR="00AB5BB1" w:rsidRDefault="00AB5B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F68"/>
    <w:rsid w:val="000003F8"/>
    <w:rsid w:val="00022DFE"/>
    <w:rsid w:val="000919CD"/>
    <w:rsid w:val="000B7740"/>
    <w:rsid w:val="000C5656"/>
    <w:rsid w:val="000D5DDE"/>
    <w:rsid w:val="000D7B25"/>
    <w:rsid w:val="000D7CE4"/>
    <w:rsid w:val="00161EC9"/>
    <w:rsid w:val="00162393"/>
    <w:rsid w:val="00164B66"/>
    <w:rsid w:val="0018152D"/>
    <w:rsid w:val="00181F96"/>
    <w:rsid w:val="00183D28"/>
    <w:rsid w:val="001E11EF"/>
    <w:rsid w:val="00202F43"/>
    <w:rsid w:val="002112FB"/>
    <w:rsid w:val="00233094"/>
    <w:rsid w:val="002505A7"/>
    <w:rsid w:val="00255B29"/>
    <w:rsid w:val="00270777"/>
    <w:rsid w:val="00292599"/>
    <w:rsid w:val="002A5872"/>
    <w:rsid w:val="002B69E0"/>
    <w:rsid w:val="00360AF2"/>
    <w:rsid w:val="0038284B"/>
    <w:rsid w:val="003E2986"/>
    <w:rsid w:val="003F1246"/>
    <w:rsid w:val="00444FBE"/>
    <w:rsid w:val="004738C8"/>
    <w:rsid w:val="004803AE"/>
    <w:rsid w:val="00491CF4"/>
    <w:rsid w:val="004B05BE"/>
    <w:rsid w:val="004B7236"/>
    <w:rsid w:val="004C5BC5"/>
    <w:rsid w:val="004E469F"/>
    <w:rsid w:val="00584091"/>
    <w:rsid w:val="005B0A53"/>
    <w:rsid w:val="005D0924"/>
    <w:rsid w:val="00601B14"/>
    <w:rsid w:val="00656715"/>
    <w:rsid w:val="006644C8"/>
    <w:rsid w:val="006F623D"/>
    <w:rsid w:val="00705AC0"/>
    <w:rsid w:val="00744848"/>
    <w:rsid w:val="00750C8D"/>
    <w:rsid w:val="00761B16"/>
    <w:rsid w:val="007F1F68"/>
    <w:rsid w:val="008004F2"/>
    <w:rsid w:val="008020BE"/>
    <w:rsid w:val="00830655"/>
    <w:rsid w:val="008364A0"/>
    <w:rsid w:val="00865763"/>
    <w:rsid w:val="008C46AA"/>
    <w:rsid w:val="008C5F4F"/>
    <w:rsid w:val="008C6932"/>
    <w:rsid w:val="008D4B2E"/>
    <w:rsid w:val="009600A6"/>
    <w:rsid w:val="00973D64"/>
    <w:rsid w:val="009C20E3"/>
    <w:rsid w:val="00A04071"/>
    <w:rsid w:val="00A774EC"/>
    <w:rsid w:val="00A94EC0"/>
    <w:rsid w:val="00AB5BB1"/>
    <w:rsid w:val="00AD369D"/>
    <w:rsid w:val="00AE6B78"/>
    <w:rsid w:val="00B142E7"/>
    <w:rsid w:val="00B42598"/>
    <w:rsid w:val="00B555FC"/>
    <w:rsid w:val="00B82301"/>
    <w:rsid w:val="00B83678"/>
    <w:rsid w:val="00BC3042"/>
    <w:rsid w:val="00BD04C9"/>
    <w:rsid w:val="00BD6CCA"/>
    <w:rsid w:val="00BE79D1"/>
    <w:rsid w:val="00C1510F"/>
    <w:rsid w:val="00C15E47"/>
    <w:rsid w:val="00C81557"/>
    <w:rsid w:val="00CA0A23"/>
    <w:rsid w:val="00CC12F3"/>
    <w:rsid w:val="00CD0CCE"/>
    <w:rsid w:val="00CE5315"/>
    <w:rsid w:val="00D30922"/>
    <w:rsid w:val="00D56E33"/>
    <w:rsid w:val="00DB7483"/>
    <w:rsid w:val="00DD0BCB"/>
    <w:rsid w:val="00DD6D7E"/>
    <w:rsid w:val="00E23D2C"/>
    <w:rsid w:val="00E7479C"/>
    <w:rsid w:val="00EB2B98"/>
    <w:rsid w:val="00EE63DD"/>
    <w:rsid w:val="00EE7C17"/>
    <w:rsid w:val="00F17B23"/>
    <w:rsid w:val="00F25744"/>
    <w:rsid w:val="00F27C79"/>
    <w:rsid w:val="00F4745A"/>
    <w:rsid w:val="00F97606"/>
    <w:rsid w:val="00FC2187"/>
    <w:rsid w:val="00FC25EF"/>
    <w:rsid w:val="00FD10BF"/>
    <w:rsid w:val="00FF4498"/>
    <w:rsid w:val="00FF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3C1B"/>
  <w15:docId w15:val="{A8A5577D-F787-4F47-AD9D-42683651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15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5BB1"/>
    <w:pPr>
      <w:tabs>
        <w:tab w:val="center" w:pos="4536"/>
        <w:tab w:val="right" w:pos="9072"/>
      </w:tabs>
    </w:pPr>
  </w:style>
  <w:style w:type="character" w:customStyle="1" w:styleId="KoptekstChar">
    <w:name w:val="Koptekst Char"/>
    <w:basedOn w:val="Standaardalinea-lettertype"/>
    <w:link w:val="Koptekst"/>
    <w:uiPriority w:val="99"/>
    <w:rsid w:val="00AB5BB1"/>
  </w:style>
  <w:style w:type="paragraph" w:styleId="Voettekst">
    <w:name w:val="footer"/>
    <w:basedOn w:val="Standaard"/>
    <w:link w:val="VoettekstChar"/>
    <w:uiPriority w:val="99"/>
    <w:unhideWhenUsed/>
    <w:rsid w:val="00AB5BB1"/>
    <w:pPr>
      <w:tabs>
        <w:tab w:val="center" w:pos="4536"/>
        <w:tab w:val="right" w:pos="9072"/>
      </w:tabs>
    </w:pPr>
  </w:style>
  <w:style w:type="character" w:customStyle="1" w:styleId="VoettekstChar">
    <w:name w:val="Voettekst Char"/>
    <w:basedOn w:val="Standaardalinea-lettertype"/>
    <w:link w:val="Voettekst"/>
    <w:uiPriority w:val="99"/>
    <w:rsid w:val="00AB5BB1"/>
  </w:style>
  <w:style w:type="character" w:styleId="Paginanummer">
    <w:name w:val="page number"/>
    <w:basedOn w:val="Standaardalinea-lettertype"/>
    <w:uiPriority w:val="99"/>
    <w:semiHidden/>
    <w:unhideWhenUsed/>
    <w:rsid w:val="00AE6B78"/>
  </w:style>
  <w:style w:type="paragraph" w:styleId="Voetnoottekst">
    <w:name w:val="footnote text"/>
    <w:basedOn w:val="Standaard"/>
    <w:link w:val="VoetnoottekstChar"/>
    <w:uiPriority w:val="99"/>
    <w:semiHidden/>
    <w:unhideWhenUsed/>
    <w:rsid w:val="004B05BE"/>
    <w:rPr>
      <w:sz w:val="20"/>
      <w:szCs w:val="20"/>
    </w:rPr>
  </w:style>
  <w:style w:type="character" w:customStyle="1" w:styleId="VoetnoottekstChar">
    <w:name w:val="Voetnoottekst Char"/>
    <w:basedOn w:val="Standaardalinea-lettertype"/>
    <w:link w:val="Voetnoottekst"/>
    <w:uiPriority w:val="99"/>
    <w:semiHidden/>
    <w:rsid w:val="004B05BE"/>
    <w:rPr>
      <w:sz w:val="20"/>
      <w:szCs w:val="20"/>
    </w:rPr>
  </w:style>
  <w:style w:type="character" w:styleId="Voetnootmarkering">
    <w:name w:val="footnote reference"/>
    <w:basedOn w:val="Standaardalinea-lettertype"/>
    <w:uiPriority w:val="99"/>
    <w:semiHidden/>
    <w:unhideWhenUsed/>
    <w:rsid w:val="004B05BE"/>
    <w:rPr>
      <w:vertAlign w:val="superscript"/>
    </w:rPr>
  </w:style>
  <w:style w:type="paragraph" w:styleId="Ballontekst">
    <w:name w:val="Balloon Text"/>
    <w:basedOn w:val="Standaard"/>
    <w:link w:val="BallontekstChar"/>
    <w:uiPriority w:val="99"/>
    <w:semiHidden/>
    <w:unhideWhenUsed/>
    <w:rsid w:val="000D7CE4"/>
    <w:rPr>
      <w:rFonts w:ascii="Tahoma" w:hAnsi="Tahoma" w:cs="Tahoma"/>
      <w:sz w:val="16"/>
      <w:szCs w:val="16"/>
    </w:rPr>
  </w:style>
  <w:style w:type="character" w:customStyle="1" w:styleId="BallontekstChar">
    <w:name w:val="Ballontekst Char"/>
    <w:basedOn w:val="Standaardalinea-lettertype"/>
    <w:link w:val="Ballontekst"/>
    <w:uiPriority w:val="99"/>
    <w:semiHidden/>
    <w:rsid w:val="000D7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F93CE-F7C2-B940-BE7F-7484B1AA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2211</Words>
  <Characters>12162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Kwant</dc:creator>
  <cp:lastModifiedBy>Marijn Kwant</cp:lastModifiedBy>
  <cp:revision>4</cp:revision>
  <dcterms:created xsi:type="dcterms:W3CDTF">2020-02-10T21:03:00Z</dcterms:created>
  <dcterms:modified xsi:type="dcterms:W3CDTF">2020-02-10T21:08:00Z</dcterms:modified>
</cp:coreProperties>
</file>